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71" w:rsidRDefault="004C4A71" w:rsidP="004C4A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4C4A71" w:rsidRDefault="004C4A71" w:rsidP="004C4A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4C4A71" w:rsidRDefault="004C4A71" w:rsidP="004C4A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4C4A71" w:rsidRDefault="004C4A71" w:rsidP="004C4A7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r>
        <w:rPr>
          <w:b/>
          <w:bCs/>
        </w:rPr>
        <w:t xml:space="preserve"> </w:t>
      </w:r>
    </w:p>
    <w:p w:rsidR="004C4A71" w:rsidRDefault="004C4A71" w:rsidP="004C4A71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4C4A71" w:rsidRDefault="004C4A71" w:rsidP="004C4A71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:rsidR="004C4A71" w:rsidRDefault="004C4A71" w:rsidP="004C4A71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7"/>
        <w:gridCol w:w="2829"/>
        <w:gridCol w:w="1886"/>
        <w:gridCol w:w="2550"/>
        <w:gridCol w:w="3384"/>
        <w:gridCol w:w="1228"/>
      </w:tblGrid>
      <w:tr w:rsidR="004C4A71" w:rsidTr="004C4A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4C4A71" w:rsidRDefault="004C4A7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4C4A71" w:rsidTr="004C4A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  <w:r>
              <w:t>REAGIRANJE NA PODRAŽAJE U ULOZI ODRŽIVOSTI ŽIVOTA</w:t>
            </w:r>
          </w:p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  <w:r>
              <w:t>35. Osjetila čovjeka – I</w:t>
            </w:r>
          </w:p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  <w:r>
              <w:t xml:space="preserve">36. Osjetila čovjeka </w:t>
            </w:r>
            <w:r>
              <w:t>–</w:t>
            </w:r>
            <w:r>
              <w:t xml:space="preserve"> II</w:t>
            </w:r>
          </w:p>
          <w:p w:rsidR="004C4A71" w:rsidRDefault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>37. Osjetila čovjeka  - III</w:t>
            </w:r>
          </w:p>
          <w:p w:rsidR="004C4A71" w:rsidRDefault="004C4A71" w:rsidP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 xml:space="preserve">38. Osjetila čovjeka </w:t>
            </w:r>
            <w:r>
              <w:t>–</w:t>
            </w:r>
            <w:r>
              <w:t xml:space="preserve"> IV</w:t>
            </w:r>
          </w:p>
          <w:p w:rsidR="004C4A71" w:rsidRDefault="004C4A71" w:rsidP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 xml:space="preserve">39. Osjetila čovjeka </w:t>
            </w:r>
            <w:r>
              <w:t>–</w:t>
            </w:r>
            <w:r>
              <w:t xml:space="preserve"> V</w:t>
            </w:r>
          </w:p>
          <w:p w:rsidR="004C4A71" w:rsidRDefault="004C4A71" w:rsidP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 xml:space="preserve">40. Osjetila čovjeka </w:t>
            </w:r>
            <w:r>
              <w:t>–</w:t>
            </w:r>
            <w:r>
              <w:t xml:space="preserve"> VI</w:t>
            </w:r>
          </w:p>
          <w:p w:rsidR="004C4A71" w:rsidRDefault="004C4A71" w:rsidP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 xml:space="preserve">41. Reagiranje životinja na podražaje - sličnosti i razlike </w:t>
            </w:r>
            <w:r>
              <w:t>–</w:t>
            </w:r>
            <w:r>
              <w:t xml:space="preserve"> I</w:t>
            </w:r>
          </w:p>
          <w:p w:rsidR="004C4A71" w:rsidRDefault="004C4A71" w:rsidP="004C4A71">
            <w:pPr>
              <w:spacing w:line="240" w:lineRule="auto"/>
            </w:pPr>
          </w:p>
          <w:p w:rsidR="004C4A71" w:rsidRDefault="004C4A71" w:rsidP="004C4A71">
            <w:pPr>
              <w:spacing w:line="240" w:lineRule="auto"/>
            </w:pPr>
            <w:r>
              <w:t>42. Reagiranje životinja na podražaje - sličnosti i razlike - II</w:t>
            </w:r>
          </w:p>
          <w:p w:rsidR="004C4A71" w:rsidRDefault="004C4A71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4C4A71" w:rsidRDefault="004C4A7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4C4A71" w:rsidRDefault="004C4A7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4C4A71" w:rsidRDefault="004C4A71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4C4A71" w:rsidRDefault="004C4A71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:rsidR="004C4A71" w:rsidRDefault="004C4A71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4C4A71" w:rsidRDefault="004C4A71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</w:t>
            </w:r>
            <w:r>
              <w:rPr>
                <w:color w:val="0070C0"/>
                <w:sz w:val="20"/>
                <w:szCs w:val="20"/>
              </w:rPr>
              <w:lastRenderedPageBreak/>
              <w:t>RAZVOJ PRILAGODBI I BIORAZNOLIKOST</w:t>
            </w:r>
          </w:p>
          <w:p w:rsidR="004C4A71" w:rsidRDefault="004C4A71">
            <w:pPr>
              <w:spacing w:line="240" w:lineRule="auto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:rsidR="004C4A71" w:rsidRDefault="004C4A71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4C4A71" w:rsidRDefault="004C4A71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</w:p>
          <w:p w:rsidR="004C4A71" w:rsidRDefault="004C4A71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4C4A71" w:rsidRDefault="004C4A71">
            <w:pPr>
              <w:spacing w:line="240" w:lineRule="auto"/>
            </w:pPr>
            <w:r>
              <w:t>promatranje, internet, grafički radovi, individualni rad,</w:t>
            </w:r>
          </w:p>
          <w:p w:rsidR="004C4A71" w:rsidRDefault="004C4A71">
            <w:pPr>
              <w:spacing w:line="240" w:lineRule="auto"/>
            </w:pPr>
            <w:r>
              <w:t>mentalne mape, izrada prezentacija, video lekcije</w:t>
            </w:r>
          </w:p>
          <w:p w:rsidR="004C4A71" w:rsidRDefault="004C4A71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4C4A71" w:rsidRDefault="004C4A71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4C4A71" w:rsidRDefault="004C4A71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4C4A71" w:rsidRDefault="004C4A71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4C4A71" w:rsidRDefault="004C4A7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4C4A71" w:rsidRDefault="004C4A71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:rsidR="004C4A71" w:rsidRDefault="004C4A71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4C4A71" w:rsidRDefault="004C4A71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4C4A71" w:rsidRDefault="004C4A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4C4A71" w:rsidRDefault="004C4A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:rsidR="004C4A71" w:rsidRDefault="004C4A71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4C4A71" w:rsidRDefault="004C4A71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4C4A71" w:rsidRDefault="004C4A71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4C4A71" w:rsidRDefault="004C4A71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4C4A71" w:rsidRDefault="004C4A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4C4A71" w:rsidRDefault="004C4A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4C4A71" w:rsidRDefault="004C4A71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71" w:rsidRDefault="004C4A71">
            <w:pPr>
              <w:spacing w:line="240" w:lineRule="auto"/>
            </w:pPr>
          </w:p>
        </w:tc>
      </w:tr>
    </w:tbl>
    <w:p w:rsidR="004C4A71" w:rsidRDefault="004C4A71" w:rsidP="004C4A71"/>
    <w:p w:rsidR="004C4A71" w:rsidRDefault="004C4A71" w:rsidP="004C4A71"/>
    <w:p w:rsidR="004C4A71" w:rsidRDefault="004C4A71" w:rsidP="004C4A71"/>
    <w:p w:rsidR="008D270C" w:rsidRDefault="008D270C"/>
    <w:sectPr w:rsidR="008D270C" w:rsidSect="004C4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71"/>
    <w:rsid w:val="004C4A71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0C1E"/>
  <w15:chartTrackingRefBased/>
  <w15:docId w15:val="{AE054EB0-1F7E-405C-AAB5-311D3CE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A7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A71"/>
    <w:pPr>
      <w:spacing w:after="0" w:line="240" w:lineRule="auto"/>
    </w:pPr>
  </w:style>
  <w:style w:type="paragraph" w:customStyle="1" w:styleId="paragraph">
    <w:name w:val="paragraph"/>
    <w:basedOn w:val="Normal"/>
    <w:rsid w:val="004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C4A71"/>
  </w:style>
  <w:style w:type="character" w:customStyle="1" w:styleId="eop">
    <w:name w:val="eop"/>
    <w:basedOn w:val="Zadanifontodlomka"/>
    <w:rsid w:val="004C4A71"/>
  </w:style>
  <w:style w:type="table" w:styleId="Reetkatablice">
    <w:name w:val="Table Grid"/>
    <w:basedOn w:val="Obinatablica"/>
    <w:uiPriority w:val="39"/>
    <w:rsid w:val="004C4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2022-01-27T17:04:00Z</dcterms:created>
  <dcterms:modified xsi:type="dcterms:W3CDTF">2022-01-27T17:07:00Z</dcterms:modified>
</cp:coreProperties>
</file>