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9"/>
        <w:gridCol w:w="2121"/>
      </w:tblGrid>
      <w:tr w:rsidR="00404926" w:rsidRPr="00404926" w:rsidTr="00A74FA9">
        <w:trPr>
          <w:trHeight w:val="384"/>
        </w:trPr>
        <w:tc>
          <w:tcPr>
            <w:tcW w:w="15441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LISTOPAD (17 sati)</w:t>
            </w:r>
          </w:p>
        </w:tc>
      </w:tr>
      <w:tr w:rsidR="00404926" w:rsidRPr="00404926" w:rsidTr="00A74FA9">
        <w:trPr>
          <w:trHeight w:val="732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redni broj sata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>nastavno područje</w:t>
            </w:r>
          </w:p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r w:rsidRPr="00404926">
              <w:rPr>
                <w:b/>
                <w:bCs/>
                <w:iCs/>
              </w:rPr>
              <w:t>nastavna jedinica</w:t>
            </w:r>
          </w:p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 xml:space="preserve">/nastavne cjeline 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rPr>
                <w:b/>
              </w:rPr>
              <w:t>tip nastavnoga sata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>O</w:t>
            </w: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>V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iCs/>
              </w:rPr>
            </w:pPr>
            <w:r w:rsidRPr="00404926">
              <w:rPr>
                <w:b/>
                <w:iCs/>
              </w:rPr>
              <w:t>P</w:t>
            </w: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rPr>
                <w:b/>
              </w:rPr>
              <w:t>odgojno-obrazovni ishodi/razrada ishoda</w:t>
            </w:r>
          </w:p>
        </w:tc>
        <w:tc>
          <w:tcPr>
            <w:tcW w:w="3260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 xml:space="preserve">cilj nastavnoga sata/sati 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rPr>
                <w:b/>
              </w:rPr>
              <w:t>(blok sat)</w:t>
            </w:r>
          </w:p>
        </w:tc>
        <w:tc>
          <w:tcPr>
            <w:tcW w:w="2150" w:type="dxa"/>
            <w:gridSpan w:val="2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04926" w:rsidRPr="00404926" w:rsidTr="00A74FA9">
        <w:trPr>
          <w:trHeight w:val="848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rPr>
                <w:bCs/>
              </w:rPr>
              <w:t>16.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rPr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r w:rsidRPr="00404926">
              <w:rPr>
                <w:b/>
              </w:rPr>
              <w:t xml:space="preserve">Branka </w:t>
            </w:r>
            <w:proofErr w:type="spellStart"/>
            <w:r w:rsidRPr="00404926">
              <w:rPr>
                <w:b/>
              </w:rPr>
              <w:t>Kalauz</w:t>
            </w:r>
            <w:proofErr w:type="spellEnd"/>
            <w:r w:rsidRPr="00404926">
              <w:rPr>
                <w:b/>
              </w:rPr>
              <w:t xml:space="preserve">, </w:t>
            </w:r>
            <w:r w:rsidRPr="00404926">
              <w:rPr>
                <w:b/>
                <w:i/>
                <w:iCs/>
              </w:rPr>
              <w:t>JUPI izgled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rPr>
                <w:iCs/>
              </w:rPr>
              <w:t>1</w:t>
            </w: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Prepoznaje u tekstu pojave i doživljaje iz vlastitoga okruženja: potrebu mladih za kupovinom skupe dizajnerske odjeće kako bi se uklopili. </w:t>
            </w:r>
          </w:p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  <w:r w:rsidRPr="00404926">
              <w:t xml:space="preserve">Iznosi emotivne reakcije koje u njemu pobuđuje slušani tekst te ih uspoređuje s reakcijama ostalih učenika. 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Tumači književni tekst na temelju čitateljskoga iskustva i usporedbe s drugim tekstovima primjenjujući znanja o književnosti: prepoznaje i objašnjava uporabu prenesenoga značenja; objašnjava odnose među likovima, oblikuje temu i ideju teksta.</w:t>
            </w:r>
          </w:p>
        </w:tc>
        <w:tc>
          <w:tcPr>
            <w:tcW w:w="3260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Pripremati učenike za obrazlaganje vlastitoga doživljaja književnoga teksta te prepoznavanje i objašnjavanje povezanosti njegovih bitnih elemenata. Uvježbavati ih u prepoznavanju etičke vrijednosti teksta te oblikovanju osnovne misli zasnovane na donesenim zaključcima. </w:t>
            </w:r>
          </w:p>
        </w:tc>
        <w:tc>
          <w:tcPr>
            <w:tcW w:w="2150" w:type="dxa"/>
            <w:gridSpan w:val="2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04926" w:rsidRPr="00404926" w:rsidTr="00A74FA9">
        <w:trPr>
          <w:trHeight w:val="1475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17. 18.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rPr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>Upravni i neupravni govor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Razlikuje upravni govor od neupravnoga. 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Pravilno zapisuje upravni govor. Preoblikuje upravni govor u neupravni i obrnuto.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Poticati učenike na poštivanje pravopisne norme u pisanju upravnoga govora.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</w:p>
        </w:tc>
      </w:tr>
      <w:tr w:rsidR="00404926" w:rsidRPr="00404926" w:rsidTr="00A74FA9">
        <w:trPr>
          <w:trHeight w:val="637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</w:p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rPr>
                <w:bCs/>
              </w:rPr>
              <w:t>19.</w:t>
            </w:r>
          </w:p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rPr>
                <w:iCs/>
              </w:rPr>
              <w:lastRenderedPageBreak/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r w:rsidRPr="00404926">
              <w:rPr>
                <w:b/>
              </w:rPr>
              <w:t>Kako uspješnije razgovarati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Učenik interpretira podatke iz slušanoga teksta te ih sažima u različite vrste bilježaka: razlikuje spontani razgovor od planiranoga; uočava smjernice u pripremi </w:t>
            </w:r>
            <w:r w:rsidRPr="00404926">
              <w:lastRenderedPageBreak/>
              <w:t xml:space="preserve">za razgovor, uočava vještine vođenja razgovora te najčešće pogreške u razgovoru. Pronalazi dokaze i potkrepljuje zaključke do kojih je došao čitanjem; oblikuje smisao teksta. 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rPr>
                <w:bCs/>
              </w:rPr>
              <w:lastRenderedPageBreak/>
              <w:t xml:space="preserve">Kod učenika razvijati vještinu izdvajanja važnih podataka iz </w:t>
            </w:r>
            <w:r w:rsidRPr="00404926">
              <w:rPr>
                <w:bCs/>
              </w:rPr>
              <w:lastRenderedPageBreak/>
              <w:t>teksta. Poticati ih na planiranje razgovora poštujući smjernice.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</w:p>
        </w:tc>
      </w:tr>
      <w:tr w:rsidR="00404926" w:rsidRPr="00404926" w:rsidTr="00A74FA9">
        <w:trPr>
          <w:trHeight w:val="637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20.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t>KNJIŽEVNOST I STVARALAŠTVO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/>
              </w:rPr>
            </w:pPr>
            <w:r w:rsidRPr="00404926">
              <w:rPr>
                <w:b/>
              </w:rPr>
              <w:t xml:space="preserve">Hrvoje Hitrec, </w:t>
            </w:r>
            <w:proofErr w:type="spellStart"/>
            <w:r w:rsidRPr="00404926">
              <w:rPr>
                <w:b/>
                <w:i/>
                <w:iCs/>
              </w:rPr>
              <w:t>Dado</w:t>
            </w:r>
            <w:proofErr w:type="spellEnd"/>
            <w:r w:rsidRPr="00404926">
              <w:rPr>
                <w:b/>
                <w:i/>
                <w:iCs/>
              </w:rPr>
              <w:t xml:space="preserve"> i Nosonja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Uočava strukturu proznoga teksta i tijek radnje. Objašnjava događaj, opisuje odnos likova tumači ulogu humora u književnome tekstu. 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Uočava ulogu pripovjedača i tijek kojim     iznosi događaje. Objašnjava ulogu usporedbe u tekstu.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Poticati učenike na čitanje s razumijevanjem i primjenu književnoteorijskih znanja.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</w:p>
        </w:tc>
      </w:tr>
      <w:tr w:rsidR="00404926" w:rsidRPr="00404926" w:rsidTr="00A74FA9">
        <w:trPr>
          <w:trHeight w:val="591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21.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r w:rsidRPr="00404926">
              <w:rPr>
                <w:b/>
              </w:rPr>
              <w:t xml:space="preserve">Ponavljanje i usustavljivanje pravopisnoga gradiva </w:t>
            </w:r>
            <w:r w:rsidRPr="00404926">
              <w:rPr>
                <w:bCs/>
              </w:rPr>
              <w:t>(veliko početno slovo, pravopisni znakovi, upravni i neupravni govor)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Ponavlja stečena znanja o pisanju velikoga početnog  slova u </w:t>
            </w:r>
            <w:proofErr w:type="spellStart"/>
            <w:r w:rsidRPr="00404926">
              <w:t>jednorječnim</w:t>
            </w:r>
            <w:proofErr w:type="spellEnd"/>
            <w:r w:rsidRPr="00404926">
              <w:t xml:space="preserve"> i </w:t>
            </w:r>
            <w:proofErr w:type="spellStart"/>
            <w:r w:rsidRPr="00404926">
              <w:t>višerječnim</w:t>
            </w:r>
            <w:proofErr w:type="spellEnd"/>
            <w:r w:rsidRPr="00404926">
              <w:t xml:space="preserve"> imenima ustanova, društava, pokreta, epoha i povijesnih događaja;  o pravilnome pisanju i uporabi pravopisnih znakova: crtice, spojnice, kose crte, navodnika i </w:t>
            </w:r>
            <w:proofErr w:type="spellStart"/>
            <w:r w:rsidRPr="00404926">
              <w:t>polunavodnika</w:t>
            </w:r>
            <w:proofErr w:type="spellEnd"/>
            <w:r w:rsidRPr="00404926">
              <w:t xml:space="preserve"> te o pravilnome pisanju upravnoga i neupravnoga govora.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Potaknuti učenike na primjenu pravopisnih pravila u pisanome izražavanju.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591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22.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 xml:space="preserve">Zadatci za vrednovanje učeničkih postignuća </w:t>
            </w:r>
            <w:r w:rsidRPr="00404926">
              <w:rPr>
                <w:bCs/>
              </w:rPr>
              <w:t>(veliko početno slovo, pravopisni znakovi, upravni i neupravni govor)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Primjenjuje pravila o pisanju velikoga početnog  slova u </w:t>
            </w:r>
            <w:proofErr w:type="spellStart"/>
            <w:r w:rsidRPr="00404926">
              <w:t>jednorječnim</w:t>
            </w:r>
            <w:proofErr w:type="spellEnd"/>
            <w:r w:rsidRPr="00404926">
              <w:t xml:space="preserve"> i </w:t>
            </w:r>
            <w:proofErr w:type="spellStart"/>
            <w:r w:rsidRPr="00404926">
              <w:t>višerječnim</w:t>
            </w:r>
            <w:proofErr w:type="spellEnd"/>
            <w:r w:rsidRPr="00404926">
              <w:t xml:space="preserve"> imenima ustanova, društava, pokreta, epoha i povijesnih događaja;  o pravilnome pisanju i uporabi pravopisnih znakova: crtice, spojnice, kose crte, navodnika i </w:t>
            </w:r>
            <w:proofErr w:type="spellStart"/>
            <w:r w:rsidRPr="00404926">
              <w:t>polunavodnika</w:t>
            </w:r>
            <w:proofErr w:type="spellEnd"/>
            <w:r w:rsidRPr="00404926">
              <w:t xml:space="preserve"> te o </w:t>
            </w:r>
            <w:r w:rsidRPr="00404926">
              <w:lastRenderedPageBreak/>
              <w:t>pravilnome pisanju upravnoga i neupravnoga govora.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lastRenderedPageBreak/>
              <w:t>Usmjeriti učenike na pravilnu primjenu pravila o pisanju velikoga početnog slova, pravopisnih znakova te upravnoga i neupravnoga govora.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591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23. 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 xml:space="preserve">Ispravak zadataka za vrednovanje  učeničkih postignuća </w:t>
            </w:r>
            <w:r w:rsidRPr="00404926">
              <w:rPr>
                <w:bCs/>
              </w:rPr>
              <w:t>(veliko početno slovo, pravopisni znakovi, upravni i neupravni govor)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Uočava vlastite pogreške te ih ispravlja i pravilno oblikuje prema zadanoj uputi.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t>Osvijestiti učenicima pogreške i pravopisna pravila koja nisu u potpunosti usvojili te ih potaknuti na ponavljanje gradiva u kojemu su uočene pogreške.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591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24.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KULTURA I MEDIJI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r w:rsidRPr="00404926">
              <w:rPr>
                <w:b/>
              </w:rPr>
              <w:t xml:space="preserve">Televizijska serija </w:t>
            </w:r>
            <w:proofErr w:type="spellStart"/>
            <w:r w:rsidRPr="00404926">
              <w:rPr>
                <w:b/>
                <w:i/>
                <w:iCs/>
              </w:rPr>
              <w:t>Smogovci</w:t>
            </w:r>
            <w:proofErr w:type="spellEnd"/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Obrazlaže vlastito mišljenje i stajalište o različitim temama u skladu s dobi i vlastitim iskustvom. Uočava likove u seriji i uspoređuje ih s doživljajem likova u književnome tekstu. Uspoređuje književno djelo i televizijsku seriju.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rPr>
                <w:bCs/>
              </w:rPr>
              <w:t>Uspoređivati izražajna sredstva dvaju različitih medija: knjige i televizije.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 </w:t>
            </w:r>
          </w:p>
        </w:tc>
      </w:tr>
      <w:tr w:rsidR="00404926" w:rsidRPr="00404926" w:rsidTr="00A74FA9">
        <w:trPr>
          <w:trHeight w:val="567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25.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KNJIŽEVNOST I STVARALAŠTVO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  <w:r w:rsidRPr="00404926">
              <w:rPr>
                <w:b/>
              </w:rPr>
              <w:t xml:space="preserve">Drago Ivanišević, </w:t>
            </w:r>
            <w:r w:rsidRPr="00404926">
              <w:rPr>
                <w:b/>
                <w:i/>
                <w:iCs/>
              </w:rPr>
              <w:t xml:space="preserve">Moj </w:t>
            </w:r>
            <w:proofErr w:type="spellStart"/>
            <w:r w:rsidRPr="00404926">
              <w:rPr>
                <w:b/>
                <w:i/>
                <w:iCs/>
              </w:rPr>
              <w:t>did</w:t>
            </w:r>
            <w:proofErr w:type="spellEnd"/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Učenik uočava umjetničku ulogu književnosti koja ima kulturnu i estetsku vrijednost. Obrazlaže vlastiti doživljaj lirske pjesme, izdvaja osjećaje. Prepoznaje slobodni stih kao </w:t>
            </w:r>
            <w:proofErr w:type="spellStart"/>
            <w:r w:rsidRPr="00404926">
              <w:t>ritmotvorni</w:t>
            </w:r>
            <w:proofErr w:type="spellEnd"/>
            <w:r w:rsidRPr="00404926">
              <w:t xml:space="preserve"> element, prepoznaje i objašnjava metaforu i hiperbolu. 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Uočiti i objasniti estetsku ulogu književnoga teksta. Izdvojiti i objasniti ulogu pjesničkih slika oblikovanih metaforom i hiperbolom u doživljaju pjesme.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253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26.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  <w:rPr>
                <w:iCs/>
              </w:rPr>
            </w:pPr>
            <w:r w:rsidRPr="00404926">
              <w:rPr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  <w:iCs/>
              </w:rPr>
            </w:pPr>
            <w:proofErr w:type="spellStart"/>
            <w:r w:rsidRPr="00404926">
              <w:rPr>
                <w:b/>
              </w:rPr>
              <w:t>Deborah</w:t>
            </w:r>
            <w:proofErr w:type="spellEnd"/>
            <w:r w:rsidRPr="00404926">
              <w:rPr>
                <w:b/>
              </w:rPr>
              <w:t xml:space="preserve"> </w:t>
            </w:r>
            <w:proofErr w:type="spellStart"/>
            <w:r w:rsidRPr="00404926">
              <w:rPr>
                <w:b/>
              </w:rPr>
              <w:t>Ellis</w:t>
            </w:r>
            <w:proofErr w:type="spellEnd"/>
            <w:r w:rsidRPr="00404926">
              <w:rPr>
                <w:b/>
              </w:rPr>
              <w:t xml:space="preserve">, </w:t>
            </w:r>
            <w:proofErr w:type="spellStart"/>
            <w:r w:rsidRPr="00404926">
              <w:rPr>
                <w:b/>
                <w:i/>
                <w:iCs/>
              </w:rPr>
              <w:t>Parvana</w:t>
            </w:r>
            <w:proofErr w:type="spellEnd"/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Uspoređuje vlastite spoznaje o svijetu i prikaz svijeta u književnome tekstu; obrazlaže etičku i idejnu razinu književnoga teksta; iznosi svoja mišljenja o ravnopravnosti spolova te o pravu na obrazovanje. Oblikuje temu; uočava tijek i imenuje dijelove fabule; izdvaja osobine glavnoga lika.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Uvježbavati učenike u prepoznavanju etičke vrijednosti teksta te oblikovanju osnovne misli zasnovane na donesenim zaključcima. Poticati ih na argumentirano iznošenje stavova i zaključaka.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 </w:t>
            </w:r>
          </w:p>
        </w:tc>
      </w:tr>
      <w:tr w:rsidR="00404926" w:rsidRPr="00404926" w:rsidTr="00A74FA9">
        <w:trPr>
          <w:trHeight w:val="253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lastRenderedPageBreak/>
              <w:t>27.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  <w:r w:rsidRPr="00404926">
              <w:rPr>
                <w:b/>
              </w:rPr>
              <w:t xml:space="preserve">Stvaralačko pripovijedanje s promjenom gledišta </w:t>
            </w:r>
            <w:r w:rsidRPr="00404926">
              <w:rPr>
                <w:bCs/>
              </w:rPr>
              <w:t xml:space="preserve">(pripovijedanje uživljavanjem u lik djevojčice </w:t>
            </w:r>
            <w:proofErr w:type="spellStart"/>
            <w:r w:rsidRPr="00404926">
              <w:rPr>
                <w:bCs/>
              </w:rPr>
              <w:t>Parvane</w:t>
            </w:r>
            <w:proofErr w:type="spellEnd"/>
            <w:r w:rsidRPr="00404926">
              <w:rPr>
                <w:bCs/>
              </w:rPr>
              <w:t>)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  <w:rPr>
                <w:bCs/>
              </w:rPr>
            </w:pPr>
            <w:r w:rsidRPr="00404926">
              <w:t xml:space="preserve">Pripovijeda s različitih gledišta s istaknutim uzročno-posljedičnim vezama. Bilješke koje uključuju važne pojedinosti obogaćuje novim pojedinostima, slikovitim zapažanjima i komentarima mijenjajući točku gledišta. Stvaralački prepričava tekst služeći se bilješkama. Zaključuje da razumijevanje različitoga gledišta omogućuje prihvaćanje različitoga mišljenja (tolerancija).  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Kod učenika razvijati vještinu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izdvajanja važnih podataka iz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teksta; razvijati sposobnost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samostalnoga stvaralačkoga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prepričavanja s promjenom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gledišta. Razvijati kreativnost, originalnost i maštu. Povezivati dosadašnja znanja s novim spoznajama.</w:t>
            </w:r>
          </w:p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253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28.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29.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</w:rPr>
              <w:t>Prva školska zadaća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2</w:t>
            </w: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Samostalno oblikuje zadanu temu slijedeći upute: pravilno kompozicijski oblikuje sastavak, primjereno se izražava, primjenjuje pravopisna i slovnička pravila.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Potaknuti učenike da primjenjuju naučene strategije pisanja pri oblikovanju sastavka. Usmjeriti ih na zadane smjernice za pisanje i kriterije vrednovanja.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Stvaralački se izražava i primjenjuje naučeno znanje o pisanju sastavka i pri tome se koristi bilješkama.</w:t>
            </w:r>
          </w:p>
        </w:tc>
      </w:tr>
      <w:tr w:rsidR="00404926" w:rsidRPr="00404926" w:rsidTr="00A74FA9">
        <w:trPr>
          <w:trHeight w:val="560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30.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HRVATSKI JEZIK I KOMUNIKACIJA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</w:rPr>
            </w:pPr>
            <w:r w:rsidRPr="00404926">
              <w:rPr>
                <w:b/>
                <w:bCs/>
              </w:rPr>
              <w:t>Ispravak prve školske zadaće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Uočava i ispravlja česte pogreške na konkretnim primjerima u sastavku rabeći riječi ispravno u drugome kontekstu.</w:t>
            </w: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Uočava najčešće pogreške uspoređujući svoje i pogreške ostalih učenika. Osvješćuje uzrok pogreške.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  <w:tr w:rsidR="00404926" w:rsidRPr="00404926" w:rsidTr="00A74FA9">
        <w:trPr>
          <w:trHeight w:val="2148"/>
        </w:trPr>
        <w:tc>
          <w:tcPr>
            <w:tcW w:w="70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bCs/>
              </w:rPr>
            </w:pP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31. 32.</w:t>
            </w:r>
          </w:p>
        </w:tc>
        <w:tc>
          <w:tcPr>
            <w:tcW w:w="1843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KNJIŽEVNOST I STVARALAŠTVO</w:t>
            </w:r>
          </w:p>
        </w:tc>
        <w:tc>
          <w:tcPr>
            <w:tcW w:w="2664" w:type="dxa"/>
          </w:tcPr>
          <w:p w:rsidR="00404926" w:rsidRPr="00404926" w:rsidRDefault="00404926" w:rsidP="00404926">
            <w:pPr>
              <w:spacing w:after="160" w:line="259" w:lineRule="auto"/>
              <w:rPr>
                <w:b/>
                <w:iCs/>
              </w:rPr>
            </w:pPr>
            <w:r w:rsidRPr="00404926">
              <w:rPr>
                <w:b/>
              </w:rPr>
              <w:t>Književno djelo za cjelovito čitanje (listopad)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  <w:tc>
          <w:tcPr>
            <w:tcW w:w="283" w:type="dxa"/>
          </w:tcPr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284" w:type="dxa"/>
          </w:tcPr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</w:p>
          <w:p w:rsidR="00404926" w:rsidRPr="00404926" w:rsidRDefault="00404926" w:rsidP="00404926">
            <w:pPr>
              <w:spacing w:after="160" w:line="259" w:lineRule="auto"/>
            </w:pPr>
            <w:r w:rsidRPr="00404926">
              <w:t>1</w:t>
            </w:r>
          </w:p>
        </w:tc>
        <w:tc>
          <w:tcPr>
            <w:tcW w:w="3969" w:type="dxa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 xml:space="preserve">Stvaralački se izražava prema vlastitome interesu, potaknut različitim iskustvima i doživljajima književnoga teksta. Oblikuje uratke na temelju jezičnih vještina i aktivnoga rječnika u kojima dolazi do izražaja kreativnost, originalnost i stvaralačko mišljenje. </w:t>
            </w:r>
          </w:p>
        </w:tc>
        <w:tc>
          <w:tcPr>
            <w:tcW w:w="3289" w:type="dxa"/>
            <w:gridSpan w:val="2"/>
          </w:tcPr>
          <w:p w:rsidR="00404926" w:rsidRPr="00404926" w:rsidRDefault="00404926" w:rsidP="00404926">
            <w:pPr>
              <w:spacing w:after="160" w:line="259" w:lineRule="auto"/>
            </w:pPr>
            <w:r w:rsidRPr="00404926">
              <w:t>Potaknuti učenike na argumentirano iznošenje vlastitoga doživljaja o cjelovito pročitanome književnom djelu i razumijevanje drukčijega doživljaja. Primjenjivati književnoteoretska znanja.</w:t>
            </w:r>
          </w:p>
        </w:tc>
        <w:tc>
          <w:tcPr>
            <w:tcW w:w="2121" w:type="dxa"/>
          </w:tcPr>
          <w:p w:rsidR="00404926" w:rsidRPr="00404926" w:rsidRDefault="00404926" w:rsidP="00404926">
            <w:pPr>
              <w:spacing w:after="160" w:line="259" w:lineRule="auto"/>
            </w:pPr>
          </w:p>
        </w:tc>
      </w:tr>
    </w:tbl>
    <w:p w:rsidR="00404926" w:rsidRPr="00404926" w:rsidRDefault="00404926" w:rsidP="00404926">
      <w:pPr>
        <w:rPr>
          <w:b/>
        </w:rPr>
      </w:pPr>
      <w:r w:rsidRPr="00404926">
        <w:rPr>
          <w:b/>
        </w:rPr>
        <w:br/>
      </w:r>
    </w:p>
    <w:p w:rsidR="00404926" w:rsidRPr="00404926" w:rsidRDefault="00404926" w:rsidP="00404926">
      <w:pPr>
        <w:rPr>
          <w:b/>
        </w:rPr>
      </w:pPr>
    </w:p>
    <w:p w:rsidR="00404926" w:rsidRPr="00404926" w:rsidRDefault="00404926" w:rsidP="00404926">
      <w:pPr>
        <w:rPr>
          <w:b/>
        </w:rPr>
      </w:pPr>
    </w:p>
    <w:p w:rsidR="00404926" w:rsidRPr="00404926" w:rsidRDefault="00404926" w:rsidP="00404926">
      <w:pPr>
        <w:rPr>
          <w:b/>
        </w:rPr>
      </w:pPr>
    </w:p>
    <w:p w:rsidR="00C0421B" w:rsidRDefault="00C0421B">
      <w:bookmarkStart w:id="0" w:name="_GoBack"/>
      <w:bookmarkEnd w:id="0"/>
    </w:p>
    <w:sectPr w:rsidR="00C0421B" w:rsidSect="004049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26"/>
    <w:rsid w:val="00404926"/>
    <w:rsid w:val="00C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F7534-2137-45FB-BCC5-BA1B2A2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4049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2022-10-03T08:19:00Z</dcterms:created>
  <dcterms:modified xsi:type="dcterms:W3CDTF">2022-10-03T08:20:00Z</dcterms:modified>
</cp:coreProperties>
</file>