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reetkatablice"/>
        <w:tblpPr w:leftFromText="180" w:rightFromText="180" w:vertAnchor="text" w:tblpY="1"/>
        <w:tblW w:w="15441" w:type="dxa"/>
        <w:tblLayout w:type="fixed"/>
        <w:tblLook w:val="01A0" w:firstRow="1" w:lastRow="0" w:firstColumn="1" w:lastColumn="1" w:noHBand="0" w:noVBand="0"/>
      </w:tblPr>
      <w:tblGrid>
        <w:gridCol w:w="704"/>
        <w:gridCol w:w="1559"/>
        <w:gridCol w:w="2948"/>
        <w:gridCol w:w="284"/>
        <w:gridCol w:w="596"/>
        <w:gridCol w:w="283"/>
        <w:gridCol w:w="3686"/>
        <w:gridCol w:w="3231"/>
        <w:gridCol w:w="2150"/>
      </w:tblGrid>
      <w:tr w:rsidR="00651E2F" w:rsidRPr="00651E2F" w:rsidTr="00785EC4">
        <w:trPr>
          <w:trHeight w:val="692"/>
        </w:trPr>
        <w:tc>
          <w:tcPr>
            <w:tcW w:w="15441" w:type="dxa"/>
            <w:gridSpan w:val="9"/>
            <w:tcBorders>
              <w:top w:val="single" w:sz="8" w:space="0" w:color="4F81BD"/>
            </w:tcBorders>
            <w:shd w:val="clear" w:color="auto" w:fill="3D6CC1"/>
            <w:vAlign w:val="center"/>
          </w:tcPr>
          <w:p w:rsidR="00651E2F" w:rsidRPr="00651E2F" w:rsidRDefault="00651E2F" w:rsidP="00651E2F">
            <w:pPr>
              <w:spacing w:after="160" w:line="259" w:lineRule="auto"/>
              <w:rPr>
                <w:b/>
              </w:rPr>
            </w:pPr>
            <w:r w:rsidRPr="00651E2F">
              <w:rPr>
                <w:b/>
              </w:rPr>
              <w:t>DRAGOCJENA BAŠTINA  (druga tema)</w:t>
            </w:r>
          </w:p>
        </w:tc>
      </w:tr>
      <w:tr w:rsidR="00651E2F" w:rsidRPr="00651E2F" w:rsidTr="00785EC4">
        <w:trPr>
          <w:trHeight w:val="371"/>
        </w:trPr>
        <w:tc>
          <w:tcPr>
            <w:tcW w:w="15441" w:type="dxa"/>
            <w:gridSpan w:val="9"/>
            <w:shd w:val="clear" w:color="auto" w:fill="D9D9D9" w:themeFill="background1" w:themeFillShade="D9"/>
            <w:hideMark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</w:rPr>
            </w:pPr>
            <w:r w:rsidRPr="00651E2F">
              <w:t xml:space="preserve">o - obrada/ v - vježba/ p - provjera </w:t>
            </w:r>
            <w:r w:rsidRPr="00651E2F">
              <w:rPr>
                <w:b/>
              </w:rPr>
              <w:t xml:space="preserve">                                                       </w:t>
            </w:r>
            <w:bookmarkStart w:id="0" w:name="_GoBack"/>
            <w:r w:rsidRPr="007E420B">
              <w:rPr>
                <w:b/>
                <w:sz w:val="40"/>
                <w:szCs w:val="40"/>
              </w:rPr>
              <w:t xml:space="preserve">         STUDENI </w:t>
            </w:r>
            <w:r w:rsidR="007E420B" w:rsidRPr="007E420B">
              <w:rPr>
                <w:b/>
                <w:sz w:val="40"/>
                <w:szCs w:val="40"/>
              </w:rPr>
              <w:t xml:space="preserve">2023. </w:t>
            </w:r>
            <w:bookmarkEnd w:id="0"/>
          </w:p>
        </w:tc>
      </w:tr>
      <w:tr w:rsidR="00651E2F" w:rsidRPr="00651E2F" w:rsidTr="00651E2F">
        <w:trPr>
          <w:trHeight w:val="760"/>
        </w:trPr>
        <w:tc>
          <w:tcPr>
            <w:tcW w:w="704" w:type="dxa"/>
            <w:shd w:val="clear" w:color="auto" w:fill="F2F2F2" w:themeFill="background1" w:themeFillShade="F2"/>
            <w:hideMark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</w:rPr>
            </w:pPr>
            <w:r w:rsidRPr="00651E2F">
              <w:t>redni broj sata</w:t>
            </w:r>
          </w:p>
        </w:tc>
        <w:tc>
          <w:tcPr>
            <w:tcW w:w="1559" w:type="dxa"/>
            <w:shd w:val="clear" w:color="auto" w:fill="F2F2F2" w:themeFill="background1" w:themeFillShade="F2"/>
            <w:hideMark/>
          </w:tcPr>
          <w:p w:rsidR="00651E2F" w:rsidRPr="00651E2F" w:rsidRDefault="00651E2F" w:rsidP="00651E2F">
            <w:pPr>
              <w:spacing w:after="160" w:line="259" w:lineRule="auto"/>
              <w:rPr>
                <w:b/>
              </w:rPr>
            </w:pPr>
            <w:r w:rsidRPr="00651E2F">
              <w:rPr>
                <w:b/>
              </w:rPr>
              <w:t>nastavno područje</w:t>
            </w:r>
          </w:p>
        </w:tc>
        <w:tc>
          <w:tcPr>
            <w:tcW w:w="2948" w:type="dxa"/>
            <w:shd w:val="clear" w:color="auto" w:fill="F2F2F2" w:themeFill="background1" w:themeFillShade="F2"/>
            <w:hideMark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  <w:iCs/>
              </w:rPr>
            </w:pPr>
            <w:r w:rsidRPr="00651E2F">
              <w:rPr>
                <w:b/>
                <w:bCs/>
                <w:iCs/>
              </w:rPr>
              <w:t>nastavna jedinica</w:t>
            </w:r>
          </w:p>
          <w:p w:rsidR="00651E2F" w:rsidRPr="00651E2F" w:rsidRDefault="00651E2F" w:rsidP="00651E2F">
            <w:pPr>
              <w:spacing w:after="160" w:line="259" w:lineRule="auto"/>
              <w:rPr>
                <w:b/>
              </w:rPr>
            </w:pPr>
            <w:r w:rsidRPr="00651E2F">
              <w:rPr>
                <w:b/>
              </w:rPr>
              <w:t xml:space="preserve">/nastavne cjeline </w:t>
            </w:r>
          </w:p>
          <w:p w:rsidR="00651E2F" w:rsidRPr="00651E2F" w:rsidRDefault="00651E2F" w:rsidP="00651E2F">
            <w:pPr>
              <w:spacing w:after="160" w:line="259" w:lineRule="auto"/>
              <w:rPr>
                <w:b/>
              </w:rPr>
            </w:pPr>
            <w:r w:rsidRPr="00651E2F">
              <w:rPr>
                <w:b/>
              </w:rPr>
              <w:t>tip nastavnoga sata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  <w:rPr>
                <w:b/>
              </w:rPr>
            </w:pPr>
            <w:r w:rsidRPr="00651E2F">
              <w:rPr>
                <w:b/>
              </w:rPr>
              <w:t>O</w:t>
            </w:r>
          </w:p>
        </w:tc>
        <w:tc>
          <w:tcPr>
            <w:tcW w:w="596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  <w:rPr>
                <w:b/>
              </w:rPr>
            </w:pPr>
            <w:r w:rsidRPr="00651E2F">
              <w:rPr>
                <w:b/>
              </w:rPr>
              <w:t>V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  <w:rPr>
                <w:b/>
              </w:rPr>
            </w:pPr>
            <w:r w:rsidRPr="00651E2F">
              <w:rPr>
                <w:b/>
              </w:rPr>
              <w:t>P</w:t>
            </w:r>
          </w:p>
        </w:tc>
        <w:tc>
          <w:tcPr>
            <w:tcW w:w="3686" w:type="dxa"/>
            <w:shd w:val="clear" w:color="auto" w:fill="F2F2F2" w:themeFill="background1" w:themeFillShade="F2"/>
            <w:hideMark/>
          </w:tcPr>
          <w:p w:rsidR="00651E2F" w:rsidRPr="00651E2F" w:rsidRDefault="00651E2F" w:rsidP="00651E2F">
            <w:pPr>
              <w:spacing w:after="160" w:line="259" w:lineRule="auto"/>
              <w:rPr>
                <w:b/>
              </w:rPr>
            </w:pPr>
            <w:r w:rsidRPr="00651E2F">
              <w:rPr>
                <w:b/>
              </w:rPr>
              <w:t>odgojno-obrazovni ishodi/razrada ishoda</w:t>
            </w:r>
          </w:p>
        </w:tc>
        <w:tc>
          <w:tcPr>
            <w:tcW w:w="3231" w:type="dxa"/>
            <w:shd w:val="clear" w:color="auto" w:fill="F2F2F2" w:themeFill="background1" w:themeFillShade="F2"/>
            <w:hideMark/>
          </w:tcPr>
          <w:p w:rsidR="00651E2F" w:rsidRPr="00651E2F" w:rsidRDefault="00651E2F" w:rsidP="00651E2F">
            <w:pPr>
              <w:spacing w:after="160" w:line="259" w:lineRule="auto"/>
              <w:rPr>
                <w:b/>
              </w:rPr>
            </w:pPr>
            <w:r w:rsidRPr="00651E2F">
              <w:rPr>
                <w:b/>
              </w:rPr>
              <w:t xml:space="preserve">cilj nastavnoga sata/sati </w:t>
            </w:r>
          </w:p>
          <w:p w:rsidR="00651E2F" w:rsidRPr="00651E2F" w:rsidRDefault="00651E2F" w:rsidP="00651E2F">
            <w:pPr>
              <w:spacing w:after="160" w:line="259" w:lineRule="auto"/>
              <w:rPr>
                <w:b/>
              </w:rPr>
            </w:pPr>
            <w:r w:rsidRPr="00651E2F">
              <w:rPr>
                <w:b/>
              </w:rPr>
              <w:t>(blok sat)</w:t>
            </w:r>
          </w:p>
        </w:tc>
        <w:tc>
          <w:tcPr>
            <w:tcW w:w="2150" w:type="dxa"/>
            <w:shd w:val="clear" w:color="auto" w:fill="F2F2F2" w:themeFill="background1" w:themeFillShade="F2"/>
            <w:hideMark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</w:rPr>
            </w:pPr>
            <w:r w:rsidRPr="00651E2F">
              <w:rPr>
                <w:b/>
              </w:rPr>
              <w:t>napomena (kratko obrazloženje o mogućim promjenama)</w:t>
            </w:r>
          </w:p>
        </w:tc>
      </w:tr>
      <w:tr w:rsidR="00651E2F" w:rsidRPr="00651E2F" w:rsidTr="00651E2F">
        <w:trPr>
          <w:trHeight w:val="1590"/>
        </w:trPr>
        <w:tc>
          <w:tcPr>
            <w:tcW w:w="704" w:type="dxa"/>
            <w:hideMark/>
          </w:tcPr>
          <w:p w:rsidR="00651E2F" w:rsidRPr="00651E2F" w:rsidRDefault="00651E2F" w:rsidP="00651E2F">
            <w:pPr>
              <w:spacing w:after="160" w:line="259" w:lineRule="auto"/>
              <w:rPr>
                <w:bCs/>
              </w:rPr>
            </w:pPr>
            <w:r w:rsidRPr="00651E2F">
              <w:rPr>
                <w:bCs/>
              </w:rPr>
              <w:t>41.</w:t>
            </w:r>
          </w:p>
        </w:tc>
        <w:tc>
          <w:tcPr>
            <w:tcW w:w="1559" w:type="dxa"/>
            <w:hideMark/>
          </w:tcPr>
          <w:p w:rsidR="00651E2F" w:rsidRPr="00651E2F" w:rsidRDefault="00651E2F" w:rsidP="00651E2F">
            <w:pPr>
              <w:spacing w:after="160" w:line="259" w:lineRule="auto"/>
              <w:rPr>
                <w:iCs/>
              </w:rPr>
            </w:pPr>
            <w:r w:rsidRPr="00651E2F">
              <w:rPr>
                <w:iCs/>
              </w:rPr>
              <w:t>HRVATSKI JEZIK I KOMUNIKACIJA</w:t>
            </w:r>
          </w:p>
        </w:tc>
        <w:tc>
          <w:tcPr>
            <w:tcW w:w="2948" w:type="dxa"/>
            <w:hideMark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iCs/>
              </w:rPr>
            </w:pPr>
            <w:r w:rsidRPr="00651E2F">
              <w:rPr>
                <w:b/>
                <w:iCs/>
              </w:rPr>
              <w:t>Uvod u  2. temu</w:t>
            </w:r>
          </w:p>
          <w:p w:rsidR="00651E2F" w:rsidRPr="00651E2F" w:rsidRDefault="00651E2F" w:rsidP="00651E2F">
            <w:pPr>
              <w:spacing w:after="160" w:line="259" w:lineRule="auto"/>
              <w:rPr>
                <w:b/>
              </w:rPr>
            </w:pPr>
            <w:r w:rsidRPr="00651E2F">
              <w:rPr>
                <w:b/>
              </w:rPr>
              <w:t>Dragocjena baština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</w:p>
        </w:tc>
        <w:tc>
          <w:tcPr>
            <w:tcW w:w="596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</w:p>
        </w:tc>
        <w:tc>
          <w:tcPr>
            <w:tcW w:w="3686" w:type="dxa"/>
            <w:hideMark/>
          </w:tcPr>
          <w:p w:rsidR="00651E2F" w:rsidRPr="00651E2F" w:rsidRDefault="00651E2F" w:rsidP="00651E2F">
            <w:pPr>
              <w:spacing w:after="160" w:line="259" w:lineRule="auto"/>
              <w:rPr>
                <w:b/>
              </w:rPr>
            </w:pPr>
            <w:r w:rsidRPr="00651E2F">
              <w:t xml:space="preserve">Organizira kratko izlaganje da bi predstavio/predstavila rad skupine. </w:t>
            </w:r>
          </w:p>
          <w:p w:rsidR="00651E2F" w:rsidRPr="00651E2F" w:rsidRDefault="00651E2F" w:rsidP="00651E2F">
            <w:pPr>
              <w:spacing w:after="160" w:line="259" w:lineRule="auto"/>
              <w:rPr>
                <w:b/>
              </w:rPr>
            </w:pPr>
            <w:r w:rsidRPr="00651E2F">
              <w:t>Oblikuje izlaganje prema trodijelnoj strukturi.</w:t>
            </w:r>
          </w:p>
          <w:p w:rsidR="00651E2F" w:rsidRPr="00651E2F" w:rsidRDefault="00651E2F" w:rsidP="00651E2F">
            <w:pPr>
              <w:spacing w:after="160" w:line="259" w:lineRule="auto"/>
              <w:rPr>
                <w:b/>
              </w:rPr>
            </w:pPr>
            <w:r w:rsidRPr="00651E2F">
              <w:t xml:space="preserve">Sluša sugovornika i vrednuje njegovo izlaganje, izlaganje skupine. </w:t>
            </w:r>
          </w:p>
          <w:p w:rsidR="00651E2F" w:rsidRPr="00651E2F" w:rsidRDefault="00651E2F" w:rsidP="00651E2F">
            <w:pPr>
              <w:spacing w:after="160" w:line="259" w:lineRule="auto"/>
            </w:pPr>
            <w:proofErr w:type="spellStart"/>
            <w:r w:rsidRPr="00651E2F">
              <w:t>Samovrednuje</w:t>
            </w:r>
            <w:proofErr w:type="spellEnd"/>
            <w:r w:rsidRPr="00651E2F">
              <w:t xml:space="preserve"> i vrednuje rad u skupini.</w:t>
            </w:r>
          </w:p>
        </w:tc>
        <w:tc>
          <w:tcPr>
            <w:tcW w:w="3231" w:type="dxa"/>
            <w:hideMark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 xml:space="preserve">Potaknuti učenika da govori i razgovara o pročitanim i </w:t>
            </w:r>
            <w:proofErr w:type="spellStart"/>
            <w:r w:rsidRPr="00651E2F">
              <w:t>poslušanim</w:t>
            </w:r>
            <w:proofErr w:type="spellEnd"/>
            <w:r w:rsidRPr="00651E2F">
              <w:t xml:space="preserve"> tekstovima, da izrađuje nacrt projekta te da samostalno odabire odgovarajuću digitalnu tehnologiju u planiranju projekta.</w:t>
            </w:r>
          </w:p>
        </w:tc>
        <w:tc>
          <w:tcPr>
            <w:tcW w:w="2150" w:type="dxa"/>
            <w:hideMark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</w:rPr>
            </w:pPr>
          </w:p>
        </w:tc>
      </w:tr>
      <w:tr w:rsidR="00651E2F" w:rsidRPr="00651E2F" w:rsidTr="00651E2F">
        <w:trPr>
          <w:trHeight w:val="269"/>
        </w:trPr>
        <w:tc>
          <w:tcPr>
            <w:tcW w:w="704" w:type="dxa"/>
          </w:tcPr>
          <w:p w:rsidR="00651E2F" w:rsidRPr="00651E2F" w:rsidRDefault="00651E2F" w:rsidP="00651E2F">
            <w:pPr>
              <w:spacing w:after="160" w:line="259" w:lineRule="auto"/>
              <w:rPr>
                <w:bCs/>
              </w:rPr>
            </w:pPr>
            <w:r w:rsidRPr="00651E2F">
              <w:rPr>
                <w:bCs/>
              </w:rPr>
              <w:t>42.</w:t>
            </w:r>
          </w:p>
        </w:tc>
        <w:tc>
          <w:tcPr>
            <w:tcW w:w="1559" w:type="dxa"/>
          </w:tcPr>
          <w:p w:rsidR="00651E2F" w:rsidRPr="00651E2F" w:rsidRDefault="00651E2F" w:rsidP="00651E2F">
            <w:pPr>
              <w:spacing w:after="160" w:line="259" w:lineRule="auto"/>
              <w:rPr>
                <w:iCs/>
              </w:rPr>
            </w:pPr>
            <w:r w:rsidRPr="00651E2F">
              <w:rPr>
                <w:iCs/>
              </w:rPr>
              <w:t>KNJIŽEVNOST I STVARALAŠTVO</w:t>
            </w:r>
          </w:p>
        </w:tc>
        <w:tc>
          <w:tcPr>
            <w:tcW w:w="2948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  <w:iCs/>
              </w:rPr>
            </w:pPr>
            <w:r w:rsidRPr="00651E2F">
              <w:rPr>
                <w:b/>
                <w:bCs/>
              </w:rPr>
              <w:t xml:space="preserve">Zvonimir </w:t>
            </w:r>
            <w:proofErr w:type="spellStart"/>
            <w:r w:rsidRPr="00651E2F">
              <w:rPr>
                <w:b/>
                <w:bCs/>
              </w:rPr>
              <w:t>Balog</w:t>
            </w:r>
            <w:proofErr w:type="spellEnd"/>
            <w:r w:rsidRPr="00651E2F">
              <w:rPr>
                <w:b/>
                <w:bCs/>
              </w:rPr>
              <w:t xml:space="preserve">, </w:t>
            </w:r>
            <w:r w:rsidRPr="00651E2F">
              <w:rPr>
                <w:b/>
                <w:bCs/>
                <w:i/>
              </w:rPr>
              <w:t>Krk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</w:p>
        </w:tc>
        <w:tc>
          <w:tcPr>
            <w:tcW w:w="596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</w:p>
        </w:tc>
        <w:tc>
          <w:tcPr>
            <w:tcW w:w="3686" w:type="dxa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Razlikuje obilježja lirskoga teksta; izdvaja motive i na temelju motiva izriče temu pjesme.</w:t>
            </w:r>
          </w:p>
          <w:p w:rsidR="00651E2F" w:rsidRPr="00651E2F" w:rsidRDefault="00651E2F" w:rsidP="00651E2F">
            <w:pPr>
              <w:spacing w:after="160" w:line="259" w:lineRule="auto"/>
            </w:pPr>
            <w:r w:rsidRPr="00651E2F">
              <w:t>Određuje vrstu stiha s obzirom na duljinu i s obzirom na rimu.</w:t>
            </w:r>
          </w:p>
          <w:p w:rsidR="00651E2F" w:rsidRPr="00651E2F" w:rsidRDefault="00651E2F" w:rsidP="00651E2F">
            <w:pPr>
              <w:spacing w:after="160" w:line="259" w:lineRule="auto"/>
            </w:pPr>
            <w:r w:rsidRPr="00651E2F">
              <w:t>Izražava doživljaj književnoga teksta; komentira i obrazlaže vlastito razumijevanje književnoga teksta.</w:t>
            </w:r>
          </w:p>
        </w:tc>
        <w:tc>
          <w:tcPr>
            <w:tcW w:w="3231" w:type="dxa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Potaknuti učenika na izražavanje doživljaja književnoga teksta te na uočavanje i razlikovanje književnih obilježja (tema, motiv, stih s obzirom na duljinu, vezani i slobodni stih).</w:t>
            </w:r>
          </w:p>
        </w:tc>
        <w:tc>
          <w:tcPr>
            <w:tcW w:w="2150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</w:rPr>
            </w:pPr>
          </w:p>
        </w:tc>
      </w:tr>
      <w:tr w:rsidR="00651E2F" w:rsidRPr="00651E2F" w:rsidTr="00651E2F">
        <w:trPr>
          <w:trHeight w:val="336"/>
        </w:trPr>
        <w:tc>
          <w:tcPr>
            <w:tcW w:w="704" w:type="dxa"/>
          </w:tcPr>
          <w:p w:rsidR="00651E2F" w:rsidRPr="00651E2F" w:rsidRDefault="00651E2F" w:rsidP="00651E2F">
            <w:pPr>
              <w:spacing w:after="160" w:line="259" w:lineRule="auto"/>
              <w:rPr>
                <w:bCs/>
              </w:rPr>
            </w:pPr>
            <w:r w:rsidRPr="00651E2F">
              <w:rPr>
                <w:bCs/>
              </w:rPr>
              <w:t>43.</w:t>
            </w:r>
          </w:p>
        </w:tc>
        <w:tc>
          <w:tcPr>
            <w:tcW w:w="1559" w:type="dxa"/>
          </w:tcPr>
          <w:p w:rsidR="00651E2F" w:rsidRPr="00651E2F" w:rsidRDefault="00651E2F" w:rsidP="00651E2F">
            <w:pPr>
              <w:spacing w:after="160" w:line="259" w:lineRule="auto"/>
              <w:rPr>
                <w:iCs/>
              </w:rPr>
            </w:pPr>
            <w:r w:rsidRPr="00651E2F">
              <w:rPr>
                <w:iCs/>
              </w:rPr>
              <w:t>HRVATSKI JEZIK I KOMUNIKACIJA</w:t>
            </w:r>
          </w:p>
        </w:tc>
        <w:tc>
          <w:tcPr>
            <w:tcW w:w="2948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  <w:iCs/>
              </w:rPr>
            </w:pPr>
            <w:r w:rsidRPr="00651E2F">
              <w:rPr>
                <w:b/>
                <w:bCs/>
              </w:rPr>
              <w:t>Početci hrvatske pismenosti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1</w:t>
            </w:r>
          </w:p>
        </w:tc>
        <w:tc>
          <w:tcPr>
            <w:tcW w:w="596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</w:p>
        </w:tc>
        <w:tc>
          <w:tcPr>
            <w:tcW w:w="3686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</w:rPr>
            </w:pPr>
            <w:r w:rsidRPr="00651E2F">
              <w:t xml:space="preserve">Objašnjava pojmove trojezičnosti (staroslavenski, starohrvatski i latinski jezik) i </w:t>
            </w:r>
            <w:proofErr w:type="spellStart"/>
            <w:r w:rsidRPr="00651E2F">
              <w:t>tropismenosti</w:t>
            </w:r>
            <w:proofErr w:type="spellEnd"/>
            <w:r w:rsidRPr="00651E2F">
              <w:t xml:space="preserve"> (glagoljica, hrvatska ćirilica/bosančica, latinica).</w:t>
            </w:r>
          </w:p>
          <w:p w:rsidR="00651E2F" w:rsidRPr="00651E2F" w:rsidRDefault="00651E2F" w:rsidP="00651E2F">
            <w:pPr>
              <w:spacing w:after="160" w:line="259" w:lineRule="auto"/>
              <w:rPr>
                <w:b/>
                <w:bCs/>
              </w:rPr>
            </w:pPr>
            <w:r w:rsidRPr="00651E2F">
              <w:t xml:space="preserve">Nabraja spomenike hrvatske srednjovjekovne pismenosti i </w:t>
            </w:r>
            <w:r w:rsidRPr="00651E2F">
              <w:lastRenderedPageBreak/>
              <w:t>objašnjava njihovu važnost i značaj za hrvatsku povijest i kulturu.</w:t>
            </w:r>
          </w:p>
          <w:p w:rsidR="00651E2F" w:rsidRPr="00651E2F" w:rsidRDefault="00651E2F" w:rsidP="00651E2F">
            <w:pPr>
              <w:spacing w:after="160" w:line="259" w:lineRule="auto"/>
              <w:rPr>
                <w:lang w:bidi="en-US"/>
              </w:rPr>
            </w:pPr>
            <w:r w:rsidRPr="00651E2F">
              <w:t>Obrazlaže važnost prvotiska u kontekstu razvoja hrvatske pismenosti.</w:t>
            </w:r>
          </w:p>
        </w:tc>
        <w:tc>
          <w:tcPr>
            <w:tcW w:w="3231" w:type="dxa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lastRenderedPageBreak/>
              <w:t>Potaknuti učenika na istraživanje o povijesti jezičnoga razvoja svojega naroda te osvijestiti važnost usvajanja pojedinosti o jezičnome i kulturnome razvoju svojega naroda.</w:t>
            </w:r>
          </w:p>
        </w:tc>
        <w:tc>
          <w:tcPr>
            <w:tcW w:w="2150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</w:rPr>
            </w:pPr>
          </w:p>
        </w:tc>
      </w:tr>
      <w:tr w:rsidR="00651E2F" w:rsidRPr="00651E2F" w:rsidTr="00651E2F">
        <w:trPr>
          <w:trHeight w:val="849"/>
        </w:trPr>
        <w:tc>
          <w:tcPr>
            <w:tcW w:w="704" w:type="dxa"/>
          </w:tcPr>
          <w:p w:rsidR="00651E2F" w:rsidRPr="00651E2F" w:rsidRDefault="00651E2F" w:rsidP="00651E2F">
            <w:pPr>
              <w:spacing w:after="160" w:line="259" w:lineRule="auto"/>
              <w:rPr>
                <w:bCs/>
              </w:rPr>
            </w:pPr>
            <w:r w:rsidRPr="00651E2F">
              <w:rPr>
                <w:bCs/>
              </w:rPr>
              <w:t>44.</w:t>
            </w:r>
          </w:p>
        </w:tc>
        <w:tc>
          <w:tcPr>
            <w:tcW w:w="1559" w:type="dxa"/>
          </w:tcPr>
          <w:p w:rsidR="00651E2F" w:rsidRPr="00651E2F" w:rsidRDefault="00651E2F" w:rsidP="00651E2F">
            <w:pPr>
              <w:spacing w:after="160" w:line="259" w:lineRule="auto"/>
              <w:rPr>
                <w:iCs/>
              </w:rPr>
            </w:pPr>
            <w:r w:rsidRPr="00651E2F">
              <w:rPr>
                <w:iCs/>
              </w:rPr>
              <w:t>KULTURA I MEDIJI</w:t>
            </w:r>
          </w:p>
        </w:tc>
        <w:tc>
          <w:tcPr>
            <w:tcW w:w="2948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  <w:iCs/>
              </w:rPr>
            </w:pPr>
            <w:r w:rsidRPr="00651E2F">
              <w:rPr>
                <w:b/>
                <w:bCs/>
              </w:rPr>
              <w:t xml:space="preserve">Josip Bratulić, </w:t>
            </w:r>
            <w:r w:rsidRPr="00651E2F">
              <w:rPr>
                <w:b/>
                <w:bCs/>
                <w:i/>
              </w:rPr>
              <w:t xml:space="preserve">Vita, vita, štampa naša gori </w:t>
            </w:r>
            <w:proofErr w:type="spellStart"/>
            <w:r w:rsidRPr="00651E2F">
              <w:rPr>
                <w:b/>
                <w:bCs/>
                <w:i/>
              </w:rPr>
              <w:t>gre</w:t>
            </w:r>
            <w:proofErr w:type="spellEnd"/>
            <w:r w:rsidRPr="00651E2F">
              <w:rPr>
                <w:b/>
                <w:bCs/>
                <w:i/>
              </w:rPr>
              <w:t>!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</w:p>
        </w:tc>
        <w:tc>
          <w:tcPr>
            <w:tcW w:w="596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</w:p>
        </w:tc>
        <w:tc>
          <w:tcPr>
            <w:tcW w:w="3686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</w:rPr>
            </w:pPr>
            <w:r w:rsidRPr="00651E2F">
              <w:t>Razlikuje književni od neknjiževnoga teksta.</w:t>
            </w:r>
            <w:r w:rsidRPr="00651E2F">
              <w:rPr>
                <w:b/>
              </w:rPr>
              <w:t xml:space="preserve"> </w:t>
            </w:r>
            <w:r w:rsidRPr="00651E2F">
              <w:t>Upoznaje se sa spomenicima hrvatske srednjovjekovne pismenosti i Prvotiskom.</w:t>
            </w:r>
            <w:r w:rsidRPr="00651E2F">
              <w:rPr>
                <w:b/>
              </w:rPr>
              <w:t xml:space="preserve"> </w:t>
            </w:r>
            <w:r w:rsidRPr="00651E2F">
              <w:t xml:space="preserve">Prepoznaje vrijednost </w:t>
            </w:r>
            <w:proofErr w:type="spellStart"/>
            <w:r w:rsidRPr="00651E2F">
              <w:t>popularnokulturnoga</w:t>
            </w:r>
            <w:proofErr w:type="spellEnd"/>
            <w:r w:rsidRPr="00651E2F">
              <w:t xml:space="preserve"> teksta u kontekstu svakodnevnoga života.</w:t>
            </w:r>
          </w:p>
          <w:p w:rsidR="00651E2F" w:rsidRPr="00651E2F" w:rsidRDefault="00651E2F" w:rsidP="00651E2F">
            <w:pPr>
              <w:spacing w:after="160" w:line="259" w:lineRule="auto"/>
            </w:pPr>
          </w:p>
        </w:tc>
        <w:tc>
          <w:tcPr>
            <w:tcW w:w="3231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</w:rPr>
            </w:pPr>
            <w:r w:rsidRPr="00651E2F">
              <w:t xml:space="preserve">Potaknuti učenike da uspoređuje vlastita i tuđa mišljenja o </w:t>
            </w:r>
            <w:proofErr w:type="spellStart"/>
            <w:r w:rsidRPr="00651E2F">
              <w:t>popularnokulturnim</w:t>
            </w:r>
            <w:proofErr w:type="spellEnd"/>
            <w:r w:rsidRPr="00651E2F">
              <w:t xml:space="preserve"> tekstovima u skladu s dosadašnjim iskustvom te da čita i istražuje o temi u različitim izvorima te prikuplja pojedinosti za </w:t>
            </w:r>
            <w:proofErr w:type="spellStart"/>
            <w:r w:rsidRPr="00651E2F">
              <w:t>skupinski</w:t>
            </w:r>
            <w:proofErr w:type="spellEnd"/>
            <w:r w:rsidRPr="00651E2F">
              <w:t xml:space="preserve"> rad.</w:t>
            </w:r>
          </w:p>
        </w:tc>
        <w:tc>
          <w:tcPr>
            <w:tcW w:w="2150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</w:rPr>
            </w:pPr>
          </w:p>
        </w:tc>
      </w:tr>
      <w:tr w:rsidR="00651E2F" w:rsidRPr="00651E2F" w:rsidTr="00651E2F">
        <w:trPr>
          <w:trHeight w:val="543"/>
        </w:trPr>
        <w:tc>
          <w:tcPr>
            <w:tcW w:w="704" w:type="dxa"/>
          </w:tcPr>
          <w:p w:rsidR="00651E2F" w:rsidRPr="00651E2F" w:rsidRDefault="00651E2F" w:rsidP="00651E2F">
            <w:pPr>
              <w:spacing w:after="160" w:line="259" w:lineRule="auto"/>
              <w:rPr>
                <w:bCs/>
              </w:rPr>
            </w:pPr>
            <w:r w:rsidRPr="00651E2F">
              <w:rPr>
                <w:bCs/>
              </w:rPr>
              <w:t>45.</w:t>
            </w:r>
          </w:p>
        </w:tc>
        <w:tc>
          <w:tcPr>
            <w:tcW w:w="1559" w:type="dxa"/>
          </w:tcPr>
          <w:p w:rsidR="00651E2F" w:rsidRPr="00651E2F" w:rsidRDefault="00651E2F" w:rsidP="00651E2F">
            <w:pPr>
              <w:spacing w:after="160" w:line="259" w:lineRule="auto"/>
              <w:rPr>
                <w:iCs/>
              </w:rPr>
            </w:pPr>
            <w:r w:rsidRPr="00651E2F">
              <w:rPr>
                <w:iCs/>
              </w:rPr>
              <w:t>KNJIŽEVNOST I STVARALAŠTVO</w:t>
            </w:r>
          </w:p>
        </w:tc>
        <w:tc>
          <w:tcPr>
            <w:tcW w:w="2948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  <w:iCs/>
              </w:rPr>
            </w:pPr>
            <w:r w:rsidRPr="00651E2F">
              <w:rPr>
                <w:b/>
                <w:bCs/>
              </w:rPr>
              <w:t xml:space="preserve">Usmena (narodna) pjesma, </w:t>
            </w:r>
            <w:r w:rsidRPr="00651E2F">
              <w:rPr>
                <w:b/>
                <w:bCs/>
                <w:i/>
              </w:rPr>
              <w:t>Ive vara dva duždeva sina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  <w:rPr>
                <w:bCs/>
              </w:rPr>
            </w:pPr>
            <w:r w:rsidRPr="00651E2F">
              <w:rPr>
                <w:bCs/>
              </w:rPr>
              <w:t>1</w:t>
            </w:r>
          </w:p>
        </w:tc>
        <w:tc>
          <w:tcPr>
            <w:tcW w:w="596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  <w:rPr>
                <w:b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</w:p>
        </w:tc>
        <w:tc>
          <w:tcPr>
            <w:tcW w:w="3686" w:type="dxa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 xml:space="preserve">Izražava doživljaj književnoga teksta; komentira i obrazlaže vlastito razumijevanje književnoga teksta. </w:t>
            </w:r>
          </w:p>
          <w:p w:rsidR="00651E2F" w:rsidRPr="00651E2F" w:rsidRDefault="00651E2F" w:rsidP="00651E2F">
            <w:pPr>
              <w:spacing w:after="160" w:line="259" w:lineRule="auto"/>
            </w:pPr>
            <w:r w:rsidRPr="00651E2F">
              <w:t>Navodi obilježja epske usmene (narodne) pjesme: navodi temu, opisuje događaj, opisuje ulogu likova te mjesto i vrijeme radnje u književnome tekstu.</w:t>
            </w:r>
          </w:p>
          <w:p w:rsidR="00651E2F" w:rsidRPr="00651E2F" w:rsidRDefault="00651E2F" w:rsidP="00651E2F">
            <w:pPr>
              <w:spacing w:after="160" w:line="259" w:lineRule="auto"/>
              <w:rPr>
                <w:lang w:bidi="en-US"/>
              </w:rPr>
            </w:pPr>
            <w:r w:rsidRPr="00651E2F">
              <w:t>Tumači kako su snalažljivost i domišljatost pomogli Senjaninu Ivi da se izbavi iz ropstva.</w:t>
            </w:r>
          </w:p>
        </w:tc>
        <w:tc>
          <w:tcPr>
            <w:tcW w:w="3231" w:type="dxa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Potaknuti učenike na  objašnjavanje etičke razine književnoga teksta te povezivanje teksta sa stvarnošću.</w:t>
            </w:r>
          </w:p>
        </w:tc>
        <w:tc>
          <w:tcPr>
            <w:tcW w:w="2150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</w:rPr>
            </w:pPr>
          </w:p>
        </w:tc>
      </w:tr>
      <w:tr w:rsidR="00651E2F" w:rsidRPr="00651E2F" w:rsidTr="00651E2F">
        <w:trPr>
          <w:trHeight w:val="543"/>
        </w:trPr>
        <w:tc>
          <w:tcPr>
            <w:tcW w:w="704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</w:rPr>
            </w:pPr>
            <w:r w:rsidRPr="00651E2F">
              <w:t>46.</w:t>
            </w:r>
          </w:p>
          <w:p w:rsidR="00651E2F" w:rsidRPr="00651E2F" w:rsidRDefault="00651E2F" w:rsidP="00651E2F">
            <w:pPr>
              <w:spacing w:after="160" w:line="259" w:lineRule="auto"/>
            </w:pPr>
          </w:p>
        </w:tc>
        <w:tc>
          <w:tcPr>
            <w:tcW w:w="1559" w:type="dxa"/>
          </w:tcPr>
          <w:p w:rsidR="00651E2F" w:rsidRPr="00651E2F" w:rsidRDefault="00651E2F" w:rsidP="00651E2F">
            <w:pPr>
              <w:spacing w:after="160" w:line="259" w:lineRule="auto"/>
              <w:rPr>
                <w:iCs/>
              </w:rPr>
            </w:pPr>
            <w:r w:rsidRPr="00651E2F">
              <w:rPr>
                <w:iCs/>
              </w:rPr>
              <w:t>KNJIŽEVNOST I STVARALAŠTVO</w:t>
            </w:r>
          </w:p>
        </w:tc>
        <w:tc>
          <w:tcPr>
            <w:tcW w:w="2948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</w:rPr>
            </w:pPr>
            <w:r w:rsidRPr="00651E2F">
              <w:rPr>
                <w:b/>
                <w:bCs/>
              </w:rPr>
              <w:t>Usmene (narodne) lirske pjesme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  <w:rPr>
                <w:bCs/>
              </w:rPr>
            </w:pPr>
            <w:r w:rsidRPr="00651E2F">
              <w:rPr>
                <w:bCs/>
              </w:rPr>
              <w:t>1</w:t>
            </w:r>
          </w:p>
        </w:tc>
        <w:tc>
          <w:tcPr>
            <w:tcW w:w="596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  <w:rPr>
                <w:b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</w:p>
        </w:tc>
        <w:tc>
          <w:tcPr>
            <w:tcW w:w="3686" w:type="dxa"/>
          </w:tcPr>
          <w:p w:rsidR="00651E2F" w:rsidRPr="00651E2F" w:rsidRDefault="00651E2F" w:rsidP="00651E2F">
            <w:pPr>
              <w:spacing w:after="160" w:line="259" w:lineRule="auto"/>
              <w:rPr>
                <w:lang w:bidi="en-US"/>
              </w:rPr>
            </w:pPr>
            <w:r w:rsidRPr="00651E2F">
              <w:rPr>
                <w:lang w:bidi="en-US"/>
              </w:rPr>
              <w:t xml:space="preserve">Prepoznaje obilježja </w:t>
            </w:r>
            <w:r w:rsidRPr="00651E2F">
              <w:t xml:space="preserve">narodne lirske pjesme: tema, motivi, vrsta stiha s obzirom na broj slogova. </w:t>
            </w:r>
          </w:p>
          <w:p w:rsidR="00651E2F" w:rsidRPr="00651E2F" w:rsidRDefault="00651E2F" w:rsidP="00651E2F">
            <w:pPr>
              <w:spacing w:after="160" w:line="259" w:lineRule="auto"/>
              <w:rPr>
                <w:lang w:bidi="en-US"/>
              </w:rPr>
            </w:pPr>
            <w:r w:rsidRPr="00651E2F">
              <w:rPr>
                <w:lang w:bidi="en-US"/>
              </w:rPr>
              <w:t>O</w:t>
            </w:r>
            <w:r w:rsidRPr="00651E2F">
              <w:t xml:space="preserve">pisuje na koji način i u kojoj mjeri književni tekst utječe na oblikovanje njegovih stavova i vrijednosti. </w:t>
            </w:r>
          </w:p>
          <w:p w:rsidR="00651E2F" w:rsidRPr="00651E2F" w:rsidRDefault="00651E2F" w:rsidP="00651E2F">
            <w:pPr>
              <w:spacing w:after="160" w:line="259" w:lineRule="auto"/>
              <w:rPr>
                <w:bCs/>
                <w:lang w:val="en-US"/>
              </w:rPr>
            </w:pPr>
            <w:r w:rsidRPr="00651E2F">
              <w:t>Prepoznaje hrvatska narječja i govore.</w:t>
            </w:r>
          </w:p>
        </w:tc>
        <w:tc>
          <w:tcPr>
            <w:tcW w:w="3231" w:type="dxa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Osvijestiti kod učenika važnost  njegovanja narodne baštine (primjerice lirske narodne pjesme).</w:t>
            </w:r>
          </w:p>
        </w:tc>
        <w:tc>
          <w:tcPr>
            <w:tcW w:w="2150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</w:rPr>
            </w:pPr>
          </w:p>
        </w:tc>
      </w:tr>
      <w:tr w:rsidR="00651E2F" w:rsidRPr="00651E2F" w:rsidTr="00651E2F">
        <w:trPr>
          <w:trHeight w:val="543"/>
        </w:trPr>
        <w:tc>
          <w:tcPr>
            <w:tcW w:w="704" w:type="dxa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lastRenderedPageBreak/>
              <w:t>47.</w:t>
            </w:r>
          </w:p>
        </w:tc>
        <w:tc>
          <w:tcPr>
            <w:tcW w:w="1559" w:type="dxa"/>
          </w:tcPr>
          <w:p w:rsidR="00651E2F" w:rsidRPr="00651E2F" w:rsidRDefault="00651E2F" w:rsidP="00651E2F">
            <w:pPr>
              <w:spacing w:after="160" w:line="259" w:lineRule="auto"/>
              <w:rPr>
                <w:iCs/>
              </w:rPr>
            </w:pPr>
            <w:r w:rsidRPr="00651E2F">
              <w:rPr>
                <w:iCs/>
              </w:rPr>
              <w:t>HRVATSKI JEZIK I KOMUNIKACIJA/</w:t>
            </w:r>
            <w:r w:rsidRPr="00651E2F">
              <w:t>KULTURA I  MEDIJI</w:t>
            </w:r>
          </w:p>
        </w:tc>
        <w:tc>
          <w:tcPr>
            <w:tcW w:w="2948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</w:rPr>
            </w:pPr>
            <w:r w:rsidRPr="00651E2F">
              <w:rPr>
                <w:b/>
                <w:bCs/>
              </w:rPr>
              <w:t xml:space="preserve">Projekt – </w:t>
            </w:r>
            <w:r w:rsidRPr="00651E2F">
              <w:rPr>
                <w:b/>
                <w:bCs/>
                <w:i/>
              </w:rPr>
              <w:t>Čuvari zavičajne baštine</w:t>
            </w:r>
            <w:r w:rsidRPr="00651E2F">
              <w:rPr>
                <w:b/>
                <w:bCs/>
              </w:rPr>
              <w:t xml:space="preserve">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</w:p>
        </w:tc>
        <w:tc>
          <w:tcPr>
            <w:tcW w:w="596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  <w:rPr>
                <w:b/>
              </w:rPr>
            </w:pPr>
            <w:r w:rsidRPr="00651E2F">
              <w:rPr>
                <w:b/>
              </w:rPr>
              <w:t>1</w:t>
            </w:r>
          </w:p>
          <w:p w:rsidR="00651E2F" w:rsidRPr="00651E2F" w:rsidRDefault="00651E2F" w:rsidP="00651E2F">
            <w:pPr>
              <w:spacing w:after="160" w:line="259" w:lineRule="auto"/>
            </w:pPr>
            <w:r w:rsidRPr="00651E2F">
              <w:t>B/C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</w:p>
        </w:tc>
        <w:tc>
          <w:tcPr>
            <w:tcW w:w="3686" w:type="dxa"/>
          </w:tcPr>
          <w:p w:rsidR="00651E2F" w:rsidRPr="00651E2F" w:rsidRDefault="00651E2F" w:rsidP="00651E2F">
            <w:pPr>
              <w:spacing w:after="160" w:line="259" w:lineRule="auto"/>
              <w:rPr>
                <w:bCs/>
                <w:lang w:val="en-US"/>
              </w:rPr>
            </w:pPr>
            <w:r w:rsidRPr="00651E2F">
              <w:t>Samostalno se služi različitim izvorima s ciljem prikupljanja informacija. Uz pomoć prikupljenih informacija priprema kratko izlaganje o zadanoj temi i planira projektne aktivnosti.</w:t>
            </w:r>
          </w:p>
        </w:tc>
        <w:tc>
          <w:tcPr>
            <w:tcW w:w="3231" w:type="dxa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Potaknuti učenike na uočavanje važnosti prikupljanja podataka iz različitih izvora kao važnoga koraka u pripremi izlaganja te im osvijestiti mogućnosti uključivanja šire zajednice u projekt koji su sami osmislili i isplanirali i koje su pri tom vrijednosti za zajednicu.</w:t>
            </w:r>
          </w:p>
        </w:tc>
        <w:tc>
          <w:tcPr>
            <w:tcW w:w="2150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</w:rPr>
            </w:pPr>
          </w:p>
        </w:tc>
      </w:tr>
      <w:tr w:rsidR="00651E2F" w:rsidRPr="00651E2F" w:rsidTr="00651E2F">
        <w:trPr>
          <w:trHeight w:val="558"/>
        </w:trPr>
        <w:tc>
          <w:tcPr>
            <w:tcW w:w="704" w:type="dxa"/>
          </w:tcPr>
          <w:p w:rsidR="00651E2F" w:rsidRPr="00651E2F" w:rsidRDefault="00651E2F" w:rsidP="00651E2F">
            <w:pPr>
              <w:spacing w:after="160" w:line="259" w:lineRule="auto"/>
              <w:rPr>
                <w:bCs/>
              </w:rPr>
            </w:pPr>
            <w:r w:rsidRPr="00651E2F">
              <w:rPr>
                <w:bCs/>
              </w:rPr>
              <w:t>48.</w:t>
            </w:r>
          </w:p>
        </w:tc>
        <w:tc>
          <w:tcPr>
            <w:tcW w:w="1559" w:type="dxa"/>
          </w:tcPr>
          <w:p w:rsidR="00651E2F" w:rsidRPr="00651E2F" w:rsidRDefault="00651E2F" w:rsidP="00651E2F">
            <w:pPr>
              <w:spacing w:after="160" w:line="259" w:lineRule="auto"/>
              <w:rPr>
                <w:iCs/>
              </w:rPr>
            </w:pPr>
            <w:r w:rsidRPr="00651E2F">
              <w:rPr>
                <w:iCs/>
              </w:rPr>
              <w:t>KNJIŽEVNOST I STVARALAŠTVO</w:t>
            </w:r>
          </w:p>
        </w:tc>
        <w:tc>
          <w:tcPr>
            <w:tcW w:w="2948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  <w:iCs/>
              </w:rPr>
            </w:pPr>
            <w:r w:rsidRPr="00651E2F">
              <w:rPr>
                <w:b/>
                <w:bCs/>
              </w:rPr>
              <w:t xml:space="preserve">Eva </w:t>
            </w:r>
            <w:proofErr w:type="spellStart"/>
            <w:r w:rsidRPr="00651E2F">
              <w:rPr>
                <w:b/>
                <w:bCs/>
              </w:rPr>
              <w:t>Ibbotson</w:t>
            </w:r>
            <w:proofErr w:type="spellEnd"/>
            <w:r w:rsidRPr="00651E2F">
              <w:rPr>
                <w:b/>
                <w:bCs/>
              </w:rPr>
              <w:t xml:space="preserve">, </w:t>
            </w:r>
            <w:r w:rsidRPr="00651E2F">
              <w:rPr>
                <w:b/>
                <w:bCs/>
                <w:i/>
              </w:rPr>
              <w:t>Putovanje na rijeku More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  <w:rPr>
                <w:bCs/>
              </w:rPr>
            </w:pPr>
            <w:r w:rsidRPr="00651E2F">
              <w:rPr>
                <w:bCs/>
              </w:rPr>
              <w:t>1</w:t>
            </w:r>
          </w:p>
        </w:tc>
        <w:tc>
          <w:tcPr>
            <w:tcW w:w="596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</w:p>
        </w:tc>
        <w:tc>
          <w:tcPr>
            <w:tcW w:w="3686" w:type="dxa"/>
          </w:tcPr>
          <w:p w:rsidR="00651E2F" w:rsidRPr="00651E2F" w:rsidRDefault="00651E2F" w:rsidP="00651E2F">
            <w:pPr>
              <w:spacing w:after="160" w:line="259" w:lineRule="auto"/>
              <w:rPr>
                <w:lang w:bidi="en-US"/>
              </w:rPr>
            </w:pPr>
            <w:r w:rsidRPr="00651E2F">
              <w:rPr>
                <w:lang w:bidi="en-US"/>
              </w:rPr>
              <w:t>Uočava obilježja pustolovnoga romana.</w:t>
            </w:r>
          </w:p>
          <w:p w:rsidR="00651E2F" w:rsidRPr="00651E2F" w:rsidRDefault="00651E2F" w:rsidP="00651E2F">
            <w:pPr>
              <w:spacing w:after="160" w:line="259" w:lineRule="auto"/>
              <w:rPr>
                <w:lang w:bidi="en-US"/>
              </w:rPr>
            </w:pPr>
            <w:r w:rsidRPr="00651E2F">
              <w:t xml:space="preserve">Objašnjava događaj, opisuje ulogu likova (govor i postupke) u književnome tekstu. </w:t>
            </w:r>
          </w:p>
          <w:p w:rsidR="00651E2F" w:rsidRPr="00651E2F" w:rsidRDefault="00651E2F" w:rsidP="00651E2F">
            <w:pPr>
              <w:spacing w:after="160" w:line="259" w:lineRule="auto"/>
            </w:pPr>
            <w:r w:rsidRPr="00651E2F">
              <w:t>Postavlja potpitanja o slušanome tekstu da bi pojasnio razumijevanje.</w:t>
            </w:r>
          </w:p>
        </w:tc>
        <w:tc>
          <w:tcPr>
            <w:tcW w:w="3231" w:type="dxa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Potaknuti učenike na povezivanje doživljaja književnoga teksta s vlastitim iskustvom. Osvijestiti vrijednost pretraživanja informacija u svakodnevnom životu.</w:t>
            </w:r>
          </w:p>
        </w:tc>
        <w:tc>
          <w:tcPr>
            <w:tcW w:w="2150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</w:rPr>
            </w:pPr>
          </w:p>
        </w:tc>
      </w:tr>
      <w:tr w:rsidR="00651E2F" w:rsidRPr="00651E2F" w:rsidTr="00651E2F">
        <w:trPr>
          <w:trHeight w:val="893"/>
        </w:trPr>
        <w:tc>
          <w:tcPr>
            <w:tcW w:w="704" w:type="dxa"/>
          </w:tcPr>
          <w:p w:rsidR="00651E2F" w:rsidRPr="00651E2F" w:rsidRDefault="00651E2F" w:rsidP="00651E2F">
            <w:pPr>
              <w:spacing w:after="160" w:line="259" w:lineRule="auto"/>
              <w:rPr>
                <w:bCs/>
              </w:rPr>
            </w:pPr>
            <w:r w:rsidRPr="00651E2F">
              <w:rPr>
                <w:bCs/>
              </w:rPr>
              <w:t>49.</w:t>
            </w:r>
          </w:p>
          <w:p w:rsidR="00651E2F" w:rsidRPr="00651E2F" w:rsidRDefault="00651E2F" w:rsidP="00651E2F">
            <w:pPr>
              <w:spacing w:after="160" w:line="259" w:lineRule="auto"/>
              <w:rPr>
                <w:bCs/>
              </w:rPr>
            </w:pPr>
            <w:r w:rsidRPr="00651E2F">
              <w:rPr>
                <w:bCs/>
              </w:rPr>
              <w:t>50.</w:t>
            </w:r>
          </w:p>
        </w:tc>
        <w:tc>
          <w:tcPr>
            <w:tcW w:w="1559" w:type="dxa"/>
          </w:tcPr>
          <w:p w:rsidR="00651E2F" w:rsidRPr="00651E2F" w:rsidRDefault="00651E2F" w:rsidP="00651E2F">
            <w:pPr>
              <w:spacing w:after="160" w:line="259" w:lineRule="auto"/>
              <w:rPr>
                <w:iCs/>
              </w:rPr>
            </w:pPr>
            <w:r w:rsidRPr="00651E2F">
              <w:rPr>
                <w:iCs/>
              </w:rPr>
              <w:t>HRVATSKI JEZIK I KOMUNIKACIJA</w:t>
            </w:r>
          </w:p>
        </w:tc>
        <w:tc>
          <w:tcPr>
            <w:tcW w:w="2948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  <w:iCs/>
              </w:rPr>
            </w:pPr>
            <w:r w:rsidRPr="00651E2F">
              <w:rPr>
                <w:b/>
                <w:bCs/>
              </w:rPr>
              <w:t>Povratna zamjenica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1</w:t>
            </w:r>
          </w:p>
        </w:tc>
        <w:tc>
          <w:tcPr>
            <w:tcW w:w="596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</w:p>
        </w:tc>
        <w:tc>
          <w:tcPr>
            <w:tcW w:w="3686" w:type="dxa"/>
          </w:tcPr>
          <w:p w:rsidR="00651E2F" w:rsidRPr="00651E2F" w:rsidRDefault="00651E2F" w:rsidP="00651E2F">
            <w:pPr>
              <w:spacing w:line="259" w:lineRule="auto"/>
              <w:rPr>
                <w:b/>
              </w:rPr>
            </w:pPr>
            <w:r w:rsidRPr="00651E2F">
              <w:t>Prepoznaje povratne zamjenice na oglednim i čestim primjerima u tekstu.</w:t>
            </w:r>
          </w:p>
          <w:p w:rsidR="00651E2F" w:rsidRPr="00651E2F" w:rsidRDefault="00651E2F" w:rsidP="00651E2F">
            <w:pPr>
              <w:spacing w:line="259" w:lineRule="auto"/>
              <w:rPr>
                <w:b/>
              </w:rPr>
            </w:pPr>
            <w:r w:rsidRPr="00651E2F">
              <w:t>Pravilno rabi kraće (nenaglašene) i dulje (naglašene) oblike povratne zamjenice u govoru i pismu.</w:t>
            </w:r>
          </w:p>
          <w:p w:rsidR="00651E2F" w:rsidRPr="00651E2F" w:rsidRDefault="00651E2F" w:rsidP="00651E2F">
            <w:pPr>
              <w:spacing w:after="160" w:line="259" w:lineRule="auto"/>
            </w:pPr>
            <w:r w:rsidRPr="00651E2F">
              <w:t>Prepoznaje povratne glagole na oglednim i čestim primjerima i pravilno ih piše.</w:t>
            </w:r>
          </w:p>
        </w:tc>
        <w:tc>
          <w:tcPr>
            <w:tcW w:w="3231" w:type="dxa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Potaknuti učenike na primjenu jezičnih znanja u svakodnevnoj komunikaciji.</w:t>
            </w:r>
          </w:p>
        </w:tc>
        <w:tc>
          <w:tcPr>
            <w:tcW w:w="2150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</w:rPr>
            </w:pPr>
          </w:p>
        </w:tc>
      </w:tr>
      <w:tr w:rsidR="00651E2F" w:rsidRPr="00651E2F" w:rsidTr="00651E2F">
        <w:trPr>
          <w:trHeight w:val="800"/>
        </w:trPr>
        <w:tc>
          <w:tcPr>
            <w:tcW w:w="704" w:type="dxa"/>
          </w:tcPr>
          <w:p w:rsidR="00651E2F" w:rsidRPr="00651E2F" w:rsidRDefault="00651E2F" w:rsidP="00651E2F">
            <w:pPr>
              <w:spacing w:after="160" w:line="259" w:lineRule="auto"/>
              <w:rPr>
                <w:bCs/>
              </w:rPr>
            </w:pPr>
            <w:r w:rsidRPr="00651E2F">
              <w:rPr>
                <w:bCs/>
              </w:rPr>
              <w:t>51.</w:t>
            </w:r>
          </w:p>
        </w:tc>
        <w:tc>
          <w:tcPr>
            <w:tcW w:w="1559" w:type="dxa"/>
          </w:tcPr>
          <w:p w:rsidR="00651E2F" w:rsidRPr="00651E2F" w:rsidRDefault="00651E2F" w:rsidP="00651E2F">
            <w:pPr>
              <w:spacing w:after="160" w:line="259" w:lineRule="auto"/>
              <w:rPr>
                <w:iCs/>
              </w:rPr>
            </w:pPr>
            <w:r w:rsidRPr="00651E2F">
              <w:rPr>
                <w:iCs/>
              </w:rPr>
              <w:t>KNJIŽEVNOST I STVARALAŠTVO</w:t>
            </w:r>
          </w:p>
        </w:tc>
        <w:tc>
          <w:tcPr>
            <w:tcW w:w="2948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  <w:i/>
                <w:iCs/>
              </w:rPr>
            </w:pPr>
            <w:proofErr w:type="spellStart"/>
            <w:r w:rsidRPr="00651E2F">
              <w:rPr>
                <w:b/>
                <w:bCs/>
              </w:rPr>
              <w:t>Fran</w:t>
            </w:r>
            <w:proofErr w:type="spellEnd"/>
            <w:r w:rsidRPr="00651E2F">
              <w:rPr>
                <w:b/>
                <w:bCs/>
              </w:rPr>
              <w:t xml:space="preserve"> Mažuranić, </w:t>
            </w:r>
            <w:r w:rsidRPr="00651E2F">
              <w:rPr>
                <w:b/>
                <w:bCs/>
                <w:i/>
              </w:rPr>
              <w:t>Kod kuće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1</w:t>
            </w:r>
          </w:p>
        </w:tc>
        <w:tc>
          <w:tcPr>
            <w:tcW w:w="596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</w:p>
        </w:tc>
        <w:tc>
          <w:tcPr>
            <w:tcW w:w="3686" w:type="dxa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Izražava vlastite predodžbe o stvarnosti i uvjerenja na temelju čitateljskoga iskustva. Objašnjava pojam crtice kao kraćega proznog djela, sažete fabule, usmjerene na jedan događaj koji najčešće govori o svakodnevnome životu. Izdvaja primjere pripovijedanja u prvoj osobi.</w:t>
            </w:r>
          </w:p>
        </w:tc>
        <w:tc>
          <w:tcPr>
            <w:tcW w:w="3231" w:type="dxa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Poticati učenika da prepoznaje etičku vrijednost teksta te zaključak oblikuje u pouku.</w:t>
            </w:r>
          </w:p>
        </w:tc>
        <w:tc>
          <w:tcPr>
            <w:tcW w:w="2150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</w:rPr>
            </w:pPr>
          </w:p>
        </w:tc>
      </w:tr>
      <w:tr w:rsidR="00651E2F" w:rsidRPr="00651E2F" w:rsidTr="00651E2F">
        <w:trPr>
          <w:trHeight w:val="732"/>
        </w:trPr>
        <w:tc>
          <w:tcPr>
            <w:tcW w:w="704" w:type="dxa"/>
          </w:tcPr>
          <w:p w:rsidR="00651E2F" w:rsidRPr="00651E2F" w:rsidRDefault="00651E2F" w:rsidP="00651E2F">
            <w:pPr>
              <w:spacing w:after="160" w:line="259" w:lineRule="auto"/>
              <w:rPr>
                <w:bCs/>
              </w:rPr>
            </w:pPr>
            <w:r w:rsidRPr="00651E2F">
              <w:rPr>
                <w:bCs/>
              </w:rPr>
              <w:lastRenderedPageBreak/>
              <w:t>52.</w:t>
            </w:r>
          </w:p>
        </w:tc>
        <w:tc>
          <w:tcPr>
            <w:tcW w:w="1559" w:type="dxa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HRVATSKI JEZIK I KOMUNIKACIJA</w:t>
            </w:r>
          </w:p>
        </w:tc>
        <w:tc>
          <w:tcPr>
            <w:tcW w:w="2948" w:type="dxa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rPr>
                <w:b/>
                <w:bCs/>
              </w:rPr>
              <w:t xml:space="preserve">Razumijem što čitam – neknjiževni tekst: </w:t>
            </w:r>
            <w:r w:rsidRPr="00651E2F">
              <w:rPr>
                <w:b/>
                <w:bCs/>
                <w:i/>
              </w:rPr>
              <w:t>Licitar – slatki simbol ljubavi</w:t>
            </w:r>
            <w:r w:rsidRPr="00651E2F">
              <w:rPr>
                <w:i/>
              </w:rPr>
              <w:t xml:space="preserve"> </w:t>
            </w:r>
            <w:r w:rsidRPr="00651E2F">
              <w:t xml:space="preserve">(radna bilježnica) ili </w:t>
            </w:r>
            <w:r w:rsidRPr="00651E2F">
              <w:rPr>
                <w:b/>
                <w:bCs/>
              </w:rPr>
              <w:t>Razumijem što čitam – književni tekst: Ivana Brlić-Mažuranić,</w:t>
            </w:r>
            <w:r w:rsidRPr="00651E2F">
              <w:rPr>
                <w:b/>
                <w:bCs/>
                <w:i/>
              </w:rPr>
              <w:t xml:space="preserve"> Polje milosrđa</w:t>
            </w:r>
            <w:r w:rsidRPr="00651E2F">
              <w:t xml:space="preserve"> (radna bilježnica)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</w:p>
        </w:tc>
        <w:tc>
          <w:tcPr>
            <w:tcW w:w="596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</w:p>
        </w:tc>
        <w:tc>
          <w:tcPr>
            <w:tcW w:w="3686" w:type="dxa"/>
          </w:tcPr>
          <w:p w:rsidR="00651E2F" w:rsidRPr="00651E2F" w:rsidRDefault="00651E2F" w:rsidP="00651E2F">
            <w:pPr>
              <w:spacing w:after="160" w:line="259" w:lineRule="auto"/>
              <w:rPr>
                <w:bCs/>
              </w:rPr>
            </w:pPr>
            <w:r w:rsidRPr="00651E2F">
              <w:t>Čita neknjiževni tekst s razumijevanjem i važne podatke bilježi u obliku ključnih riječi. Na temelju ključnih riječi oblikuje bilješke. Služi se bilješkama tijekom razgovora o tekstu.</w:t>
            </w:r>
          </w:p>
        </w:tc>
        <w:tc>
          <w:tcPr>
            <w:tcW w:w="3231" w:type="dxa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Istaknuti važnost čitanja s razumijevanjem i vođenja bilježaka tijekom čitanja.</w:t>
            </w:r>
          </w:p>
        </w:tc>
        <w:tc>
          <w:tcPr>
            <w:tcW w:w="2150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</w:rPr>
            </w:pPr>
          </w:p>
        </w:tc>
      </w:tr>
      <w:tr w:rsidR="00651E2F" w:rsidRPr="00651E2F" w:rsidTr="00651E2F">
        <w:trPr>
          <w:trHeight w:val="732"/>
        </w:trPr>
        <w:tc>
          <w:tcPr>
            <w:tcW w:w="704" w:type="dxa"/>
          </w:tcPr>
          <w:p w:rsidR="00651E2F" w:rsidRPr="00651E2F" w:rsidRDefault="00651E2F" w:rsidP="00651E2F">
            <w:pPr>
              <w:spacing w:after="160" w:line="259" w:lineRule="auto"/>
              <w:rPr>
                <w:bCs/>
              </w:rPr>
            </w:pPr>
            <w:r w:rsidRPr="00651E2F">
              <w:rPr>
                <w:bCs/>
              </w:rPr>
              <w:t xml:space="preserve">53. </w:t>
            </w:r>
          </w:p>
        </w:tc>
        <w:tc>
          <w:tcPr>
            <w:tcW w:w="1559" w:type="dxa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KNJIŽEVNOST I STVARALAŠTVO</w:t>
            </w:r>
          </w:p>
        </w:tc>
        <w:tc>
          <w:tcPr>
            <w:tcW w:w="2948" w:type="dxa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rPr>
                <w:b/>
                <w:bCs/>
              </w:rPr>
              <w:t xml:space="preserve">Razumijem što čitam </w:t>
            </w:r>
            <w:r w:rsidRPr="00651E2F">
              <w:rPr>
                <w:b/>
              </w:rPr>
              <w:t>(zadatci za vrednovanje učeničkih postignuća – prozni tekst)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  <w:rPr>
                <w:i/>
              </w:rPr>
            </w:pPr>
          </w:p>
        </w:tc>
        <w:tc>
          <w:tcPr>
            <w:tcW w:w="596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1</w:t>
            </w:r>
          </w:p>
        </w:tc>
        <w:tc>
          <w:tcPr>
            <w:tcW w:w="3686" w:type="dxa"/>
          </w:tcPr>
          <w:p w:rsidR="00651E2F" w:rsidRPr="00651E2F" w:rsidRDefault="00651E2F" w:rsidP="00651E2F">
            <w:pPr>
              <w:spacing w:line="259" w:lineRule="auto"/>
            </w:pPr>
            <w:r w:rsidRPr="00651E2F">
              <w:t>Komentira i obrazlaže vlastito razumijevanje književnoga teksta. Prepoznaje glavne ideje i problematiku književnoga teksta i povezuje ih sa stvarnošću.</w:t>
            </w:r>
          </w:p>
        </w:tc>
        <w:tc>
          <w:tcPr>
            <w:tcW w:w="3231" w:type="dxa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Poticati učenike na čitanje s razumijevanjem i primjenu književnoteorijskih znanja.</w:t>
            </w:r>
          </w:p>
        </w:tc>
        <w:tc>
          <w:tcPr>
            <w:tcW w:w="2150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</w:rPr>
            </w:pPr>
          </w:p>
        </w:tc>
      </w:tr>
      <w:tr w:rsidR="00651E2F" w:rsidRPr="00651E2F" w:rsidTr="00651E2F">
        <w:trPr>
          <w:trHeight w:val="732"/>
        </w:trPr>
        <w:tc>
          <w:tcPr>
            <w:tcW w:w="704" w:type="dxa"/>
          </w:tcPr>
          <w:p w:rsidR="00651E2F" w:rsidRPr="00651E2F" w:rsidRDefault="00651E2F" w:rsidP="00651E2F">
            <w:pPr>
              <w:spacing w:after="160" w:line="259" w:lineRule="auto"/>
              <w:rPr>
                <w:bCs/>
              </w:rPr>
            </w:pPr>
            <w:r w:rsidRPr="00651E2F">
              <w:rPr>
                <w:bCs/>
              </w:rPr>
              <w:t>54.</w:t>
            </w:r>
          </w:p>
          <w:p w:rsidR="00651E2F" w:rsidRPr="00651E2F" w:rsidRDefault="00651E2F" w:rsidP="00651E2F">
            <w:pPr>
              <w:spacing w:after="160" w:line="259" w:lineRule="auto"/>
              <w:rPr>
                <w:bCs/>
              </w:rPr>
            </w:pPr>
            <w:r w:rsidRPr="00651E2F">
              <w:t>55.</w:t>
            </w:r>
          </w:p>
        </w:tc>
        <w:tc>
          <w:tcPr>
            <w:tcW w:w="1559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</w:rPr>
            </w:pPr>
            <w:r w:rsidRPr="00651E2F">
              <w:t>HRVATSKI JEZIK I KOMUNIKACIJA</w:t>
            </w:r>
          </w:p>
        </w:tc>
        <w:tc>
          <w:tcPr>
            <w:tcW w:w="2948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</w:rPr>
            </w:pPr>
            <w:r w:rsidRPr="00651E2F">
              <w:rPr>
                <w:b/>
                <w:bCs/>
              </w:rPr>
              <w:t>Povratno-posvojna zamjenica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  <w:rPr>
                <w:i/>
              </w:rPr>
            </w:pPr>
            <w:r w:rsidRPr="00651E2F">
              <w:rPr>
                <w:i/>
              </w:rPr>
              <w:t>1</w:t>
            </w:r>
          </w:p>
        </w:tc>
        <w:tc>
          <w:tcPr>
            <w:tcW w:w="596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  <w:rPr>
                <w:i/>
              </w:rPr>
            </w:pPr>
          </w:p>
        </w:tc>
        <w:tc>
          <w:tcPr>
            <w:tcW w:w="3686" w:type="dxa"/>
          </w:tcPr>
          <w:p w:rsidR="00651E2F" w:rsidRPr="00651E2F" w:rsidRDefault="00651E2F" w:rsidP="00651E2F">
            <w:pPr>
              <w:spacing w:line="259" w:lineRule="auto"/>
              <w:rPr>
                <w:b/>
              </w:rPr>
            </w:pPr>
            <w:r w:rsidRPr="00651E2F">
              <w:t>Prepoznaje povratno-posvojnu zamjenicu na oglednim i čestim primjerima u tekstu.</w:t>
            </w:r>
          </w:p>
          <w:p w:rsidR="00651E2F" w:rsidRPr="00651E2F" w:rsidRDefault="00651E2F" w:rsidP="00651E2F">
            <w:pPr>
              <w:spacing w:after="160" w:line="259" w:lineRule="auto"/>
              <w:rPr>
                <w:bCs/>
              </w:rPr>
            </w:pPr>
            <w:r w:rsidRPr="00651E2F">
              <w:t>Pravilno rabi povratno-posvojnu zamjenicu u govoru i pismu.</w:t>
            </w:r>
          </w:p>
          <w:p w:rsidR="00651E2F" w:rsidRPr="00651E2F" w:rsidRDefault="00651E2F" w:rsidP="00651E2F">
            <w:pPr>
              <w:spacing w:after="160" w:line="259" w:lineRule="auto"/>
              <w:rPr>
                <w:bCs/>
              </w:rPr>
            </w:pPr>
            <w:r w:rsidRPr="00651E2F">
              <w:rPr>
                <w:bCs/>
              </w:rPr>
              <w:t>Ponavlja jezično gradivo o prijedlozima tijekom rješavanja jezičnih zadataka.</w:t>
            </w:r>
          </w:p>
        </w:tc>
        <w:tc>
          <w:tcPr>
            <w:tcW w:w="3231" w:type="dxa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Potaknuti učenike na primjenu jezičnih znanja i pravilnu uporabu povratno-posvojnih zamjenica u govoru i pismu.</w:t>
            </w:r>
          </w:p>
        </w:tc>
        <w:tc>
          <w:tcPr>
            <w:tcW w:w="2150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</w:rPr>
            </w:pPr>
          </w:p>
        </w:tc>
      </w:tr>
      <w:tr w:rsidR="00651E2F" w:rsidRPr="00651E2F" w:rsidTr="00651E2F">
        <w:trPr>
          <w:trHeight w:val="732"/>
        </w:trPr>
        <w:tc>
          <w:tcPr>
            <w:tcW w:w="704" w:type="dxa"/>
          </w:tcPr>
          <w:p w:rsidR="00651E2F" w:rsidRPr="00651E2F" w:rsidRDefault="00651E2F" w:rsidP="00651E2F">
            <w:pPr>
              <w:spacing w:after="160" w:line="259" w:lineRule="auto"/>
              <w:rPr>
                <w:bCs/>
              </w:rPr>
            </w:pPr>
            <w:r w:rsidRPr="00651E2F">
              <w:rPr>
                <w:bCs/>
              </w:rPr>
              <w:t>56.</w:t>
            </w:r>
          </w:p>
          <w:p w:rsidR="00651E2F" w:rsidRPr="00651E2F" w:rsidRDefault="00651E2F" w:rsidP="00651E2F">
            <w:pPr>
              <w:spacing w:after="160" w:line="259" w:lineRule="auto"/>
              <w:rPr>
                <w:bCs/>
              </w:rPr>
            </w:pPr>
            <w:r w:rsidRPr="00651E2F">
              <w:rPr>
                <w:bCs/>
              </w:rPr>
              <w:t>57.</w:t>
            </w:r>
          </w:p>
        </w:tc>
        <w:tc>
          <w:tcPr>
            <w:tcW w:w="1559" w:type="dxa"/>
          </w:tcPr>
          <w:p w:rsidR="00651E2F" w:rsidRPr="00651E2F" w:rsidRDefault="00651E2F" w:rsidP="00651E2F">
            <w:pPr>
              <w:spacing w:after="160" w:line="259" w:lineRule="auto"/>
              <w:rPr>
                <w:iCs/>
              </w:rPr>
            </w:pPr>
            <w:r w:rsidRPr="00651E2F">
              <w:rPr>
                <w:iCs/>
              </w:rPr>
              <w:t>KNJIŽEVNOST I STVARALAŠTVO</w:t>
            </w:r>
          </w:p>
        </w:tc>
        <w:tc>
          <w:tcPr>
            <w:tcW w:w="2948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  <w:iCs/>
              </w:rPr>
            </w:pPr>
            <w:r w:rsidRPr="00651E2F">
              <w:rPr>
                <w:b/>
                <w:bCs/>
              </w:rPr>
              <w:t>Književno djelo za cjelovito čitanje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  <w:rPr>
                <w:i/>
              </w:rPr>
            </w:pPr>
          </w:p>
        </w:tc>
        <w:tc>
          <w:tcPr>
            <w:tcW w:w="596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651E2F" w:rsidRPr="00651E2F" w:rsidRDefault="00651E2F" w:rsidP="00651E2F">
            <w:pPr>
              <w:spacing w:after="160" w:line="259" w:lineRule="auto"/>
              <w:rPr>
                <w:iCs/>
              </w:rPr>
            </w:pPr>
            <w:r w:rsidRPr="00651E2F">
              <w:rPr>
                <w:iCs/>
              </w:rPr>
              <w:t>1</w:t>
            </w:r>
          </w:p>
        </w:tc>
        <w:tc>
          <w:tcPr>
            <w:tcW w:w="3686" w:type="dxa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>Čita cjelovito književno djelo i interpretira ga prema uputama učiteljice/učitelja ili samostalno, prema dogovoru s učiteljem/učiteljicom.</w:t>
            </w:r>
          </w:p>
        </w:tc>
        <w:tc>
          <w:tcPr>
            <w:tcW w:w="3231" w:type="dxa"/>
          </w:tcPr>
          <w:p w:rsidR="00651E2F" w:rsidRPr="00651E2F" w:rsidRDefault="00651E2F" w:rsidP="00651E2F">
            <w:pPr>
              <w:spacing w:after="160" w:line="259" w:lineRule="auto"/>
            </w:pPr>
            <w:r w:rsidRPr="00651E2F">
              <w:t xml:space="preserve">Poticati učenike na argumentirano iznošenje vlastitoga doživljaja o cjelovito pročitanome književnom djelu i razumijevanje drukčijeg doživljaja. </w:t>
            </w:r>
          </w:p>
        </w:tc>
        <w:tc>
          <w:tcPr>
            <w:tcW w:w="2150" w:type="dxa"/>
          </w:tcPr>
          <w:p w:rsidR="00651E2F" w:rsidRPr="00651E2F" w:rsidRDefault="00651E2F" w:rsidP="00651E2F">
            <w:pPr>
              <w:spacing w:after="160" w:line="259" w:lineRule="auto"/>
              <w:rPr>
                <w:b/>
                <w:bCs/>
              </w:rPr>
            </w:pPr>
          </w:p>
        </w:tc>
      </w:tr>
    </w:tbl>
    <w:p w:rsidR="00C46791" w:rsidRDefault="00C46791"/>
    <w:sectPr w:rsidR="00C46791" w:rsidSect="00651E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2F"/>
    <w:rsid w:val="00651E2F"/>
    <w:rsid w:val="007E420B"/>
    <w:rsid w:val="00C4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163AC"/>
  <w15:chartTrackingRefBased/>
  <w15:docId w15:val="{BCC97584-079E-48D1-BAF5-FCD36714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tablice">
    <w:name w:val="Grid Table Light"/>
    <w:basedOn w:val="Obinatablica"/>
    <w:uiPriority w:val="40"/>
    <w:rsid w:val="00651E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2021-10-26T10:03:00Z</dcterms:created>
  <dcterms:modified xsi:type="dcterms:W3CDTF">2023-10-18T17:54:00Z</dcterms:modified>
</cp:coreProperties>
</file>